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93" w:rsidRPr="00A64C27" w:rsidRDefault="00AA4F93" w:rsidP="00AA4F93">
      <w:pPr>
        <w:pStyle w:val="a6"/>
        <w:spacing w:line="360" w:lineRule="auto"/>
        <w:jc w:val="center"/>
      </w:pPr>
      <w:bookmarkStart w:id="0" w:name="_GoBack"/>
      <w:bookmarkEnd w:id="0"/>
      <w:r w:rsidRPr="00A64C27">
        <w:t>Стандартная операционная процедура «Поддержание сортов картофеля в полевой культуре»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rPr>
          <w:lang w:eastAsia="en-US"/>
        </w:rPr>
        <w:t>Составлено: Г.Ф. Сафиуллина, к.с.-</w:t>
      </w:r>
      <w:proofErr w:type="spellStart"/>
      <w:r w:rsidRPr="00A64C27">
        <w:rPr>
          <w:lang w:eastAsia="en-US"/>
        </w:rPr>
        <w:t>х.н</w:t>
      </w:r>
      <w:proofErr w:type="spellEnd"/>
      <w:r w:rsidRPr="00A64C27">
        <w:rPr>
          <w:lang w:eastAsia="en-US"/>
        </w:rPr>
        <w:t xml:space="preserve">., </w:t>
      </w:r>
      <w:proofErr w:type="spellStart"/>
      <w:r w:rsidRPr="00A64C27">
        <w:rPr>
          <w:lang w:eastAsia="en-US"/>
        </w:rPr>
        <w:t>в.н.с</w:t>
      </w:r>
      <w:proofErr w:type="spellEnd"/>
      <w:r>
        <w:rPr>
          <w:lang w:eastAsia="en-US"/>
        </w:rPr>
        <w:t xml:space="preserve">., З. </w:t>
      </w:r>
      <w:proofErr w:type="spellStart"/>
      <w:r>
        <w:rPr>
          <w:lang w:eastAsia="en-US"/>
        </w:rPr>
        <w:t>Сташевски</w:t>
      </w:r>
      <w:proofErr w:type="spellEnd"/>
      <w:r>
        <w:rPr>
          <w:lang w:eastAsia="en-US"/>
        </w:rPr>
        <w:t xml:space="preserve"> к.б.н., </w:t>
      </w:r>
      <w:proofErr w:type="spellStart"/>
      <w:r>
        <w:rPr>
          <w:lang w:eastAsia="en-US"/>
        </w:rPr>
        <w:t>в.н.с</w:t>
      </w:r>
      <w:proofErr w:type="spellEnd"/>
      <w:r>
        <w:rPr>
          <w:lang w:eastAsia="en-US"/>
        </w:rPr>
        <w:t>.,</w:t>
      </w:r>
      <w:r>
        <w:rPr>
          <w:lang w:eastAsia="en-US"/>
        </w:rPr>
        <w:br/>
      </w:r>
      <w:r w:rsidRPr="00A64C27">
        <w:rPr>
          <w:lang w:eastAsia="en-US"/>
        </w:rPr>
        <w:t xml:space="preserve">А.Т. Гизатуллина, </w:t>
      </w:r>
      <w:proofErr w:type="spellStart"/>
      <w:r w:rsidRPr="00A64C27">
        <w:rPr>
          <w:lang w:eastAsia="en-US"/>
        </w:rPr>
        <w:t>н.с</w:t>
      </w:r>
      <w:proofErr w:type="spellEnd"/>
      <w:r w:rsidRPr="00A64C27">
        <w:rPr>
          <w:lang w:eastAsia="en-US"/>
        </w:rPr>
        <w:t>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Содержание и назначение: хранение материалов по биоразнообразию растений и предоставление селекционерам, специалистам и иным заинтересованным лицам возможностей для работы с этими коллекциями.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Местонахождение: </w:t>
      </w:r>
      <w:proofErr w:type="spellStart"/>
      <w:r w:rsidRPr="00A64C27">
        <w:t>ТатНИИСХ</w:t>
      </w:r>
      <w:proofErr w:type="spellEnd"/>
      <w:r w:rsidRPr="00A64C27">
        <w:t xml:space="preserve"> - </w:t>
      </w:r>
      <w:r w:rsidRPr="00A64C27">
        <w:rPr>
          <w:shd w:val="clear" w:color="auto" w:fill="FFFFFF"/>
        </w:rPr>
        <w:t xml:space="preserve">обособленное структурное подразделение ФИЦ </w:t>
      </w:r>
      <w:proofErr w:type="spellStart"/>
      <w:r w:rsidRPr="00A64C27">
        <w:rPr>
          <w:shd w:val="clear" w:color="auto" w:fill="FFFFFF"/>
        </w:rPr>
        <w:t>КазНЦ</w:t>
      </w:r>
      <w:proofErr w:type="spellEnd"/>
      <w:r w:rsidRPr="00A64C27">
        <w:rPr>
          <w:shd w:val="clear" w:color="auto" w:fill="FFFFFF"/>
        </w:rPr>
        <w:t xml:space="preserve"> РАН</w:t>
      </w:r>
    </w:p>
    <w:p w:rsidR="00AA4F93" w:rsidRPr="00A64C27" w:rsidRDefault="00AA4F93" w:rsidP="00AA4F93">
      <w:pPr>
        <w:spacing w:line="360" w:lineRule="auto"/>
        <w:ind w:firstLine="708"/>
      </w:pPr>
      <w:r w:rsidRPr="00A64C27">
        <w:t>Пересмотр через: 1 год</w:t>
      </w:r>
    </w:p>
    <w:p w:rsidR="00AA4F93" w:rsidRPr="00A64C27" w:rsidRDefault="00AA4F93" w:rsidP="00AA4F93">
      <w:pPr>
        <w:spacing w:line="360" w:lineRule="auto"/>
        <w:ind w:firstLine="708"/>
      </w:pPr>
      <w:r w:rsidRPr="00A64C27">
        <w:t>Введение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Генетические ресурсы растений являются стратегическим ресурсом и основой устойчивого производства сельскохозяйственных культур. Их эффективное сохранение и использование имеют ключевое значение для обеспечения продовольственной и пищевой безопасности. Для решения данной проблемы необходимо, чтобы постоянно создавались новые сорта, адаптированные к неблагоприятным условиям окружающей среды в каждой климатической зоне.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Ценность сорта картофеля определяется комплексом признаков и свойств, из которых первостепенное значение имеет уровень потенциально возможной урожайности. Урожайность является интегральным показателем хозяйственной ценности любого сорта, его устойчивости к неблагоприятным условиям среды, к болезням и вредителям. Использование генофонда </w:t>
      </w:r>
      <w:proofErr w:type="spellStart"/>
      <w:r w:rsidRPr="00A64C27">
        <w:t>биоресурсной</w:t>
      </w:r>
      <w:proofErr w:type="spellEnd"/>
      <w:r w:rsidRPr="00A64C27">
        <w:t xml:space="preserve"> коллекции является необходимым инструментом селекционера при создании сортов картофеля.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В технологии производства полевой коллекции – хранение является особым звеном. Наряду с технологией выращивания, особенностями сорта, погодными условиями вегетационного и уборочного периодов, хранение является одним из факторов, влияющих на качество картофеля. Зачастую к уборке клубни не успевают полностью созреть, имеют неокрепшую кожуру, часто подвержены к удушью, уборку проводят при неблагоприятных условиях (дождливая и холодная погода). Поскольку холодные и увлажнённые клубни имеют повышенный тургор, в связи с чем сильно </w:t>
      </w:r>
      <w:r>
        <w:t>повреждается мякоть и кожура. В </w:t>
      </w:r>
      <w:r w:rsidRPr="00A64C27">
        <w:t>результате именно хранение, в конечном итоге, определяет качество и сохранность полевой коллекции картофеля.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Цель разработки стандартной операционной процедуры состоит в унификации протокола поддержания единиц хранения Коллекции.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lastRenderedPageBreak/>
        <w:t>Разработанная СОП рекомендована для использования в подразделениях, работающих с картофелем в полевых условиях.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Оборудование и материалы</w:t>
      </w:r>
    </w:p>
    <w:p w:rsidR="00AA4F93" w:rsidRPr="00A64C27" w:rsidRDefault="00AA4F93" w:rsidP="00AA4F93">
      <w:pPr>
        <w:spacing w:line="360" w:lineRule="auto"/>
        <w:jc w:val="both"/>
      </w:pPr>
      <w:r w:rsidRPr="00A64C27">
        <w:t>Таблица В.1 – Расходные материалы и средства защиты – средства защиты рассчитываются для однократного выполнения в отношении одной единицы хранения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2832"/>
        <w:gridCol w:w="3116"/>
      </w:tblGrid>
      <w:tr w:rsidR="00AA4F93" w:rsidRPr="00A64C27" w:rsidTr="00AC783F">
        <w:trPr>
          <w:trHeight w:val="643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r w:rsidRPr="00A64C27">
              <w:t>Наименование</w:t>
            </w:r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Единица измерения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Израсходовано единиц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r w:rsidRPr="00A64C27">
              <w:t xml:space="preserve">Протравитель </w:t>
            </w:r>
            <w:proofErr w:type="spellStart"/>
            <w:r w:rsidRPr="00A64C27">
              <w:t>СелестТоп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л/т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0,4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:rsidR="00AA4F93" w:rsidRPr="00A64C27" w:rsidRDefault="00AA4F93" w:rsidP="00AC783F">
            <w:r w:rsidRPr="00A64C27">
              <w:t>Г</w:t>
            </w:r>
            <w:r w:rsidRPr="00A64C27">
              <w:rPr>
                <w:bCs/>
              </w:rPr>
              <w:t>ербициды: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Зенкор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кг/га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2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Титус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кг/га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0,07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Агритокс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л/га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1,2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:rsidR="00AA4F93" w:rsidRPr="00A64C27" w:rsidRDefault="00AA4F93" w:rsidP="00AC783F">
            <w:r w:rsidRPr="00A64C27">
              <w:rPr>
                <w:bCs/>
              </w:rPr>
              <w:t>Фунгициды: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Ридомил</w:t>
            </w:r>
            <w:proofErr w:type="spellEnd"/>
            <w:r w:rsidRPr="00A64C27">
              <w:t xml:space="preserve"> </w:t>
            </w:r>
            <w:proofErr w:type="spellStart"/>
            <w:r w:rsidRPr="00A64C27">
              <w:t>Голд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кг/га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2,5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Манкоцеб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кг/га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2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Ширлан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л/га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0,4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:rsidR="00AA4F93" w:rsidRPr="00A64C27" w:rsidRDefault="00AA4F93" w:rsidP="00AC783F">
            <w:r w:rsidRPr="00A64C27">
              <w:rPr>
                <w:bCs/>
              </w:rPr>
              <w:t>Инсектицид: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r w:rsidRPr="00A64C27">
              <w:t>Эйфория</w:t>
            </w:r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л/га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0,2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:rsidR="00AA4F93" w:rsidRPr="00A64C27" w:rsidRDefault="00AA4F93" w:rsidP="00AC783F">
            <w:r w:rsidRPr="00A64C27">
              <w:rPr>
                <w:bCs/>
              </w:rPr>
              <w:t>Десикант: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Реглон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л/га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3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:rsidR="00AA4F93" w:rsidRPr="00A64C27" w:rsidRDefault="00AA4F93" w:rsidP="00AC783F">
            <w:r w:rsidRPr="00A64C27">
              <w:rPr>
                <w:bCs/>
              </w:rPr>
              <w:t>Удобрения: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r w:rsidRPr="00A64C27">
              <w:t>Калий хлор</w:t>
            </w:r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тонн</w:t>
            </w:r>
            <w:r w:rsidRPr="00A64C27">
              <w:rPr>
                <w:lang w:val="en-US"/>
              </w:rPr>
              <w:t>/</w:t>
            </w:r>
            <w:r w:rsidRPr="00A64C27">
              <w:t>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0,3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proofErr w:type="spellStart"/>
            <w:r w:rsidRPr="00A64C27">
              <w:t>Диаммофоска</w:t>
            </w:r>
            <w:proofErr w:type="spellEnd"/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тонн/га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0,4</w:t>
            </w:r>
          </w:p>
        </w:tc>
      </w:tr>
      <w:tr w:rsidR="00AA4F93" w:rsidRPr="00A64C27" w:rsidTr="00AC783F">
        <w:trPr>
          <w:trHeight w:val="255"/>
          <w:jc w:val="center"/>
        </w:trPr>
        <w:tc>
          <w:tcPr>
            <w:tcW w:w="1818" w:type="pct"/>
            <w:noWrap/>
            <w:vAlign w:val="center"/>
            <w:hideMark/>
          </w:tcPr>
          <w:p w:rsidR="00AA4F93" w:rsidRPr="00A64C27" w:rsidRDefault="00AA4F93" w:rsidP="00AC783F">
            <w:r w:rsidRPr="00A64C27">
              <w:t>ГСМ</w:t>
            </w:r>
          </w:p>
        </w:tc>
        <w:tc>
          <w:tcPr>
            <w:tcW w:w="1515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тонн</w:t>
            </w:r>
          </w:p>
        </w:tc>
        <w:tc>
          <w:tcPr>
            <w:tcW w:w="1667" w:type="pct"/>
            <w:noWrap/>
            <w:vAlign w:val="center"/>
            <w:hideMark/>
          </w:tcPr>
          <w:p w:rsidR="00AA4F93" w:rsidRPr="00A64C27" w:rsidRDefault="00AA4F93" w:rsidP="00AC783F">
            <w:pPr>
              <w:jc w:val="center"/>
            </w:pPr>
            <w:r w:rsidRPr="00A64C27">
              <w:t>0,043</w:t>
            </w:r>
          </w:p>
        </w:tc>
      </w:tr>
    </w:tbl>
    <w:p w:rsidR="00AA4F93" w:rsidRPr="00A64C27" w:rsidRDefault="00AA4F93" w:rsidP="00AA4F93">
      <w:pPr>
        <w:spacing w:line="360" w:lineRule="auto"/>
      </w:pP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Оборудование, задействованное для общего обеспечения деятельности коллекции: трактор МТЗ-1221, сажалка клоновая 4 рядная, плуг ПН-4-35, трактор Беларусь МТЗ-82, борона БДМ-3,2х4П, культиватор КСН-3, опрыскиватель ОП-2000М Руслан, погрузчик </w:t>
      </w:r>
      <w:proofErr w:type="gramStart"/>
      <w:r w:rsidRPr="00A64C27">
        <w:t>ПЭФ-1</w:t>
      </w:r>
      <w:proofErr w:type="gramEnd"/>
      <w:r w:rsidRPr="00A64C27">
        <w:t xml:space="preserve"> а ТР 25-21, прицеп 2 ПТС-4, разбрасыватель ZA-М 1500.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Материальные затраты для общего обеспечения деятельности коллекции (рассчитывается за последние 12 месяцев): ящики овощные, сетки овощные, ведра полиэтиленовые, лопаты, тяпки, вилы, перчатки хозяйственные, перчатки х/б, компьютер, монитор, принтер, холодильник Стинол 256Q, канцелярские принадлежности, стол рабочий, журнал учета, весы, хранилище с системой активной вентиляции.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Поддержание сортов картофеля в полевой культуре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Выбор поля для посадки и его подготовка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Подготовка почвы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 xml:space="preserve">Обработку и удобрение почвы проводят согласно агротехническим правилам, принятым для выращивания картофеля в местных условиях: 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Осенью проводится зяблевая вспашка земли с закладкой калийных удобрений на глубину до 30 см.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lastRenderedPageBreak/>
        <w:t>Ранней весной проводится боронование на глубину 5-7 см.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 xml:space="preserve">Внесение азотных и фосфорных удобрений, которые необходимо распределять равномерно по всей площади участка и </w:t>
      </w:r>
      <w:proofErr w:type="spellStart"/>
      <w:r w:rsidRPr="00A64C27">
        <w:t>закультивировать</w:t>
      </w:r>
      <w:proofErr w:type="spellEnd"/>
      <w:r w:rsidRPr="00A64C27">
        <w:t xml:space="preserve"> КСН-4.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Для достижения однородности тяжёлых суглинистых почв используют фрезерные культиваторы, а также при необходимости проводят сепарацию камней и комков.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Коллекционный питомник желательно размещать в полях севооборота. Это дает возможность предохранить картофель от заражения болезнями и вредителями.</w:t>
      </w:r>
    </w:p>
    <w:p w:rsidR="00AA4F93" w:rsidRPr="00A64C27" w:rsidRDefault="00AA4F93" w:rsidP="00AA4F93">
      <w:pPr>
        <w:spacing w:line="360" w:lineRule="auto"/>
        <w:ind w:firstLine="709"/>
        <w:jc w:val="both"/>
      </w:pPr>
      <w:r w:rsidRPr="00A64C27">
        <w:t>Подготовка посадочного материала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За три недели до посадки нужно начать инспектирование клубней БРК картофеля (удаление клубней, пораженных болезнями и вредителями). При механизированной посадке заранее составляется схема размещения образцов (длина проходов, число ярусов, дорожек). Затем производится отбор материала по 20 клубней каждого сорта на 2 делянки. Сорта картофеля фасуются в сетки по 8 образцов, сетки маркируются.</w:t>
      </w:r>
    </w:p>
    <w:p w:rsidR="00AA4F93" w:rsidRPr="00A64C27" w:rsidRDefault="00AA4F93" w:rsidP="00AA4F93">
      <w:pPr>
        <w:pStyle w:val="a6"/>
        <w:spacing w:line="360" w:lineRule="auto"/>
      </w:pPr>
      <w:r w:rsidRPr="00A64C27">
        <w:t>Маркировка полей для коллекционного питомника.</w:t>
      </w:r>
    </w:p>
    <w:p w:rsidR="00AA4F93" w:rsidRPr="00A64C27" w:rsidRDefault="00AA4F93" w:rsidP="00AA4F93">
      <w:pPr>
        <w:pStyle w:val="a6"/>
        <w:spacing w:line="360" w:lineRule="auto"/>
        <w:ind w:firstLine="709"/>
        <w:jc w:val="both"/>
      </w:pPr>
      <w:r w:rsidRPr="00A64C27">
        <w:t xml:space="preserve">Поле перед посадкой маркируют в двух направлениях (в продольном на 75 см, в поперечном на 25 см). Затем участок разбивают по шнуру на ярусы шириной 2,5 м. Ярусы разделяют дорожкой шириной 1,5 м. </w:t>
      </w:r>
    </w:p>
    <w:p w:rsidR="00AA4F93" w:rsidRPr="00A64C27" w:rsidRDefault="00AA4F93" w:rsidP="00AA4F93">
      <w:pPr>
        <w:pStyle w:val="a6"/>
        <w:spacing w:line="360" w:lineRule="auto"/>
        <w:ind w:firstLine="709"/>
        <w:jc w:val="both"/>
      </w:pPr>
      <w:r w:rsidRPr="00A64C27">
        <w:t xml:space="preserve">На поле сорта располагают </w:t>
      </w:r>
      <w:proofErr w:type="spellStart"/>
      <w:r w:rsidRPr="00A64C27">
        <w:t>рендомизированно</w:t>
      </w:r>
      <w:proofErr w:type="spellEnd"/>
      <w:r w:rsidRPr="00A64C27">
        <w:t>. По каждой группе спелости включают стандарт (районированный сорт). Срок посадки – оптимальный для данной области или зоны.</w:t>
      </w:r>
    </w:p>
    <w:p w:rsidR="00AA4F93" w:rsidRPr="00A64C27" w:rsidRDefault="00AA4F93" w:rsidP="00AA4F93">
      <w:pPr>
        <w:pStyle w:val="a6"/>
        <w:spacing w:line="360" w:lineRule="auto"/>
        <w:ind w:firstLine="709"/>
        <w:jc w:val="both"/>
      </w:pPr>
      <w:r w:rsidRPr="00A64C27">
        <w:t>После завершения посадки составляют схему (план) фактического размещения образцов, на которой обозначены число ярусов, дорожек, нумерация делянок и этикеток, число растений. Копия схемы посадки вносится в компьютерную базу данных.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Посадка и уход за коллекционным питомником.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Посадка картофеля производится в борозды клоновой сажалкой с протравливанием клубней комбинированным инсектофунгицидом </w:t>
      </w:r>
      <w:proofErr w:type="spellStart"/>
      <w:r w:rsidRPr="00A64C27">
        <w:t>Селест</w:t>
      </w:r>
      <w:proofErr w:type="spellEnd"/>
      <w:r w:rsidRPr="00A64C27">
        <w:t xml:space="preserve"> Топ.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Через неделю после посадки клубней производится </w:t>
      </w:r>
      <w:proofErr w:type="spellStart"/>
      <w:r w:rsidRPr="00A64C27">
        <w:t>гребнеобразование</w:t>
      </w:r>
      <w:proofErr w:type="spellEnd"/>
      <w:r w:rsidRPr="00A64C27">
        <w:t>.</w:t>
      </w:r>
      <w:r>
        <w:t xml:space="preserve"> И </w:t>
      </w:r>
      <w:r w:rsidRPr="00A64C27">
        <w:t xml:space="preserve">последующее опрыскивание системным гербицидом против однолетних двудольных и злаковых сорных растений </w:t>
      </w:r>
      <w:proofErr w:type="spellStart"/>
      <w:r w:rsidRPr="00A64C27">
        <w:t>Зенкор</w:t>
      </w:r>
      <w:proofErr w:type="spellEnd"/>
      <w:r w:rsidRPr="00A64C27">
        <w:t xml:space="preserve"> совместно с контактным фунгицидом </w:t>
      </w:r>
      <w:proofErr w:type="spellStart"/>
      <w:r w:rsidRPr="00A64C27">
        <w:t>Манкоцеб</w:t>
      </w:r>
      <w:proofErr w:type="spellEnd"/>
      <w:r w:rsidRPr="00A64C27">
        <w:t>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Через две недели после опрыскивания проводится полевое инспектирование картофеля, оценка всходов. Производятся записи в журнал.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По степени засоренности через неделю после всходов проводится опрыскивание селективным гербицидом, предназначенный для обработки междурядий в посадках картофеля </w:t>
      </w:r>
      <w:proofErr w:type="spellStart"/>
      <w:r w:rsidRPr="00A64C27">
        <w:t>Агритокс</w:t>
      </w:r>
      <w:proofErr w:type="spellEnd"/>
      <w:r w:rsidRPr="00A64C27">
        <w:t xml:space="preserve"> совместно с селективным гербицидом </w:t>
      </w:r>
      <w:proofErr w:type="spellStart"/>
      <w:r w:rsidRPr="00A64C27">
        <w:t>Титус</w:t>
      </w:r>
      <w:proofErr w:type="spellEnd"/>
      <w:r w:rsidRPr="00A64C27">
        <w:t>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lastRenderedPageBreak/>
        <w:t xml:space="preserve">До смыкания рядков картофеля через 2-3 недели после всходов производят опрыскивание комбинированным фунгицидом </w:t>
      </w:r>
      <w:proofErr w:type="spellStart"/>
      <w:r w:rsidRPr="00A64C27">
        <w:t>Ридомил</w:t>
      </w:r>
      <w:proofErr w:type="spellEnd"/>
      <w:r w:rsidRPr="00A64C27">
        <w:t xml:space="preserve"> </w:t>
      </w:r>
      <w:proofErr w:type="spellStart"/>
      <w:r w:rsidRPr="00A64C27">
        <w:t>Голд</w:t>
      </w:r>
      <w:proofErr w:type="spellEnd"/>
      <w:r w:rsidRPr="00A64C27">
        <w:t xml:space="preserve"> МЦ, ВДГ.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Через 2-3 недели после всходов проводится полевое инспектирование картофеля, фенологические наблюдения, оценка развития болезней. Проводятся записи в журнал.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Через 10-14 дней после обработки комбинированным фунгицидом </w:t>
      </w:r>
      <w:proofErr w:type="spellStart"/>
      <w:r w:rsidRPr="00A64C27">
        <w:t>Ридомил</w:t>
      </w:r>
      <w:proofErr w:type="spellEnd"/>
      <w:r w:rsidRPr="00A64C27">
        <w:t xml:space="preserve"> </w:t>
      </w:r>
      <w:proofErr w:type="spellStart"/>
      <w:r w:rsidRPr="00A64C27">
        <w:t>Голд</w:t>
      </w:r>
      <w:proofErr w:type="spellEnd"/>
      <w:r w:rsidRPr="00A64C27">
        <w:t xml:space="preserve"> МЦ, ВДГ, производится обработка контактным фунгицидом </w:t>
      </w:r>
      <w:proofErr w:type="spellStart"/>
      <w:r w:rsidRPr="00A64C27">
        <w:t>Манкоцеб</w:t>
      </w:r>
      <w:proofErr w:type="spellEnd"/>
      <w:r w:rsidRPr="00A64C27">
        <w:t xml:space="preserve"> и комбинированным инсектицидом Эйфория, КС.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Каждые 10 дней производятся полевые инспектирования полей, проводятся записи в журнал.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Через 2 недели производится повторная обработка комбинированным инсектицидом Эйфория, КС и комбинированным фунгицидом </w:t>
      </w:r>
      <w:proofErr w:type="spellStart"/>
      <w:r w:rsidRPr="00A64C27">
        <w:t>Ридомил</w:t>
      </w:r>
      <w:proofErr w:type="spellEnd"/>
      <w:r w:rsidRPr="00A64C27">
        <w:t xml:space="preserve"> </w:t>
      </w:r>
      <w:proofErr w:type="spellStart"/>
      <w:r w:rsidRPr="00A64C27">
        <w:t>Голд</w:t>
      </w:r>
      <w:proofErr w:type="spellEnd"/>
      <w:r w:rsidRPr="00A64C27">
        <w:t xml:space="preserve"> МЦ, ВДГ.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После 10-14 дней проводится обработка контактным фунгицидом </w:t>
      </w:r>
      <w:proofErr w:type="spellStart"/>
      <w:r w:rsidRPr="00A64C27">
        <w:t>Манкоцеб</w:t>
      </w:r>
      <w:proofErr w:type="spellEnd"/>
      <w:r w:rsidRPr="00A64C27">
        <w:t>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Полевое инспектирование картофеля, оценка отм</w:t>
      </w:r>
      <w:r>
        <w:t>ирания ботвы проводится через 8 </w:t>
      </w:r>
      <w:r w:rsidRPr="00A64C27">
        <w:t>недель после всходов.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Для завершающих опрыскиваний применяют контактный фунгицид для защиты картофеля от фитофтороза </w:t>
      </w:r>
      <w:proofErr w:type="spellStart"/>
      <w:r w:rsidRPr="00A64C27">
        <w:t>Ширлан</w:t>
      </w:r>
      <w:proofErr w:type="spellEnd"/>
      <w:r w:rsidRPr="00A64C27">
        <w:t xml:space="preserve">, СК совместно с </w:t>
      </w:r>
      <w:proofErr w:type="spellStart"/>
      <w:r w:rsidRPr="00A64C27">
        <w:t>Реглон</w:t>
      </w:r>
      <w:proofErr w:type="spellEnd"/>
      <w:r w:rsidRPr="00A64C27">
        <w:t xml:space="preserve"> Супер, ВР для десикации и выдерживают 2 недели.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За неделю до уборки проводят скашивание ботвы.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Наблюдения, учеты и оценка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При изучении образцов коллекции используют полевые и лабораторные методы оценки. Полевой метод является основным при изучении и позволяет наиболее полно дать оценку образца в разных эколого-географических условиях. 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 xml:space="preserve">В течение вегетационного периода учитывают: 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Фенологические показатели: начало появления всходов (10% взошедших растений), массовые всходы (75% взошедших растений), начало цветения (10%), массовое цветение (75%), образование ягод, отмирание ботвы (начало, полное);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Визуальную оценку состояния растений: вирусные, грибные заболевания, влияние гербицидов на растение.</w:t>
      </w:r>
    </w:p>
    <w:p w:rsidR="00AA4F93" w:rsidRPr="00A64C27" w:rsidRDefault="00AA4F93" w:rsidP="00AA4F9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4C27">
        <w:rPr>
          <w:rFonts w:ascii="Times New Roman" w:hAnsi="Times New Roman"/>
          <w:sz w:val="24"/>
          <w:szCs w:val="24"/>
        </w:rPr>
        <w:t>Для определения скороспелости у изучаемых сортов, производят выкапывание кустов на 60 –й день после посадки. Взвешивают товарные и мелкие клубни, подсчитывают число товарных и сравнивают со стандартными сортами.</w:t>
      </w:r>
    </w:p>
    <w:p w:rsidR="00AA4F93" w:rsidRDefault="00AA4F93" w:rsidP="00AA4F9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A4F93" w:rsidRPr="00A64C27" w:rsidRDefault="00AA4F93" w:rsidP="00AA4F9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4C27">
        <w:rPr>
          <w:rFonts w:ascii="Times New Roman" w:hAnsi="Times New Roman"/>
          <w:sz w:val="24"/>
          <w:szCs w:val="24"/>
        </w:rPr>
        <w:t>Уборка, учет урожая и качества коллекционного питомника</w:t>
      </w:r>
    </w:p>
    <w:p w:rsidR="00AA4F93" w:rsidRPr="00A64C27" w:rsidRDefault="00AA4F93" w:rsidP="00AA4F93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4C27">
        <w:rPr>
          <w:rFonts w:ascii="Times New Roman" w:hAnsi="Times New Roman"/>
          <w:sz w:val="24"/>
          <w:szCs w:val="24"/>
        </w:rPr>
        <w:t xml:space="preserve">Уборка производится вручную, клубни каждого растения от образца выкапываются отдельно и гнездами выкладываются в лунки. Клубни визуально оценивают по типичности, </w:t>
      </w:r>
      <w:r w:rsidRPr="00A64C27">
        <w:rPr>
          <w:rFonts w:ascii="Times New Roman" w:hAnsi="Times New Roman"/>
          <w:sz w:val="24"/>
          <w:szCs w:val="24"/>
        </w:rPr>
        <w:lastRenderedPageBreak/>
        <w:t>степени поражения болезнями, вредителями. Образцы с 10 кустов собираются в отдельную сетку, маркируются и переносятся на хранение.</w:t>
      </w:r>
    </w:p>
    <w:p w:rsidR="00AA4F93" w:rsidRPr="00A64C27" w:rsidRDefault="00AA4F93" w:rsidP="00AA4F93">
      <w:pPr>
        <w:pStyle w:val="a6"/>
        <w:spacing w:line="360" w:lineRule="auto"/>
        <w:ind w:firstLine="709"/>
        <w:jc w:val="both"/>
      </w:pPr>
      <w:r w:rsidRPr="00A64C27">
        <w:t xml:space="preserve">При осенней переборке учитывают следующие показатели: дефекты клубней (неправильная форма, трещины, </w:t>
      </w:r>
      <w:proofErr w:type="spellStart"/>
      <w:r w:rsidRPr="00A64C27">
        <w:t>израстание</w:t>
      </w:r>
      <w:proofErr w:type="spellEnd"/>
      <w:r w:rsidRPr="00A64C27">
        <w:t xml:space="preserve">, дуплистость, сухая гниль, фитофтороз, парша, </w:t>
      </w:r>
      <w:proofErr w:type="spellStart"/>
      <w:r w:rsidRPr="00A64C27">
        <w:t>ризоктониоз</w:t>
      </w:r>
      <w:proofErr w:type="spellEnd"/>
      <w:r w:rsidRPr="00A64C27">
        <w:t>), выравненность клубней. Клубни каждого образца просматривают, отбраковывают больные и поврежденные, отмечая вид болезни и число больных клубней, характер и степень прорастания. Затем образцы разделяют по фракциям крупные &gt;70 мм, средние 50-70 мм, мелкие &lt;50 мм взвешивают, определяют число клубней каждой фракции. На семена оставляют выравненные по форме клубни. Затем рассчитывают процент товарности, урожайность, массу среднего клубня. Все наблюдения записывают в полевой журнал.</w:t>
      </w:r>
    </w:p>
    <w:p w:rsidR="00AA4F93" w:rsidRDefault="00AA4F93" w:rsidP="00AA4F93">
      <w:pPr>
        <w:pStyle w:val="a6"/>
        <w:spacing w:line="360" w:lineRule="auto"/>
        <w:ind w:firstLine="708"/>
        <w:jc w:val="both"/>
      </w:pP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Оценка столовых качеств клубней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 xml:space="preserve">Оценку столовых качеств клубней проводят по методике отдела клубнеплодов ВИР. Для дегустации отбирают клубни правильной формы, типичной для сорта. Для оценки не допускаются клубни проросшие, неправильной формы, уродливые и с другими отклонениями. При варке в воде следует пользоваться мягкой водой (при ее отсутствии использовать кипяченую воду). При оценке вкусовых качеств картофель дегустируют без соли. Анализируемые образцы и стандарт должны быть зашифрованы. </w:t>
      </w:r>
    </w:p>
    <w:p w:rsidR="00AA4F93" w:rsidRDefault="00AA4F93" w:rsidP="00AA4F93">
      <w:pPr>
        <w:pStyle w:val="a6"/>
        <w:spacing w:line="360" w:lineRule="auto"/>
        <w:ind w:firstLine="708"/>
        <w:jc w:val="both"/>
      </w:pP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Хранение полевой коллекции сортов картофеля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Оборудование и материалы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Материальные затраты для общего обеспечения деятельности коллекции: ящики овощные, сетки овощные, мешки полиэтиленовые, ведра полиэтиленовые, лопаты, перчатки хозяйственные, перчатки х/б, компьютер, монитор, принтер, канцелярские принадлежности, стол рабочий, журнал учета, термометр, деревянные поддоны, весы.</w:t>
      </w:r>
    </w:p>
    <w:p w:rsidR="00AA4F93" w:rsidRPr="00A64C27" w:rsidRDefault="00AA4F93" w:rsidP="00AA4F93">
      <w:pPr>
        <w:spacing w:line="360" w:lineRule="auto"/>
        <w:ind w:firstLine="708"/>
        <w:jc w:val="both"/>
      </w:pPr>
      <w:r w:rsidRPr="00A64C27">
        <w:t>Расходные материалы и средства защиты: 10-20% гашеная известь, 3% медный купорос, дератизация</w:t>
      </w:r>
    </w:p>
    <w:p w:rsidR="00AA4F93" w:rsidRPr="00A64C27" w:rsidRDefault="00AA4F93" w:rsidP="00AA4F93">
      <w:pPr>
        <w:spacing w:line="360" w:lineRule="auto"/>
        <w:jc w:val="both"/>
      </w:pPr>
      <w:r w:rsidRPr="00A64C27">
        <w:t>Оборудование, задействованное для общего обеспечения деятельности коллекции: хранилище с системой активной вентиляции, погрузчик ТР 25-21.</w:t>
      </w:r>
    </w:p>
    <w:p w:rsidR="00AA4F93" w:rsidRPr="00A64C27" w:rsidRDefault="00AA4F93" w:rsidP="00AA4F93">
      <w:pPr>
        <w:pStyle w:val="a6"/>
        <w:spacing w:line="360" w:lineRule="auto"/>
        <w:ind w:firstLine="709"/>
        <w:jc w:val="both"/>
      </w:pPr>
      <w:r w:rsidRPr="00A64C27">
        <w:t>Перед закладкой на хранение коллекцию выдерживают 2-3 недели на крытой площадке, проходит временное хранение (лечебный период), после чего перебирают, калибруют по фракциям, взвешивают и закладывают на постоянное хранение.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 xml:space="preserve">Технология хранения начинается с подготовки хранилища: за две-три недели до начала загрузки производят ремонт, очистку от мусора и остатков прошлогоднего </w:t>
      </w:r>
      <w:r w:rsidRPr="00A64C27">
        <w:lastRenderedPageBreak/>
        <w:t>картофеля, проводят дезинфекцию хранилища 3%-</w:t>
      </w:r>
      <w:proofErr w:type="spellStart"/>
      <w:r w:rsidRPr="00A64C27">
        <w:t>ым</w:t>
      </w:r>
      <w:proofErr w:type="spellEnd"/>
      <w:r w:rsidRPr="00A64C27">
        <w:t xml:space="preserve"> раствором медного купороса. Стены хранилища, закрома, потолок белят 10-20% гашеной известью. 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Каждый образец картофеля в коллекции после переборки сортируется в сетки, маркируется и укладывается на деревянные поддоны. Высота поддона от пола составляет 10-15 см, высота сеток на поддоне около 1 метра.</w:t>
      </w:r>
    </w:p>
    <w:p w:rsidR="00AA4F93" w:rsidRDefault="00AA4F93" w:rsidP="00AA4F93">
      <w:pPr>
        <w:pStyle w:val="a6"/>
        <w:spacing w:line="360" w:lineRule="auto"/>
        <w:ind w:firstLine="708"/>
        <w:jc w:val="both"/>
      </w:pP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 xml:space="preserve">Этапы закладки картофеля на </w:t>
      </w:r>
      <w:r>
        <w:t>хранение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Просушивание картофеля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В процессе загрузки по мере заполнения поддонов проводят просушивание клубней из расчета 100-150 м</w:t>
      </w:r>
      <w:r w:rsidRPr="00A64C27">
        <w:rPr>
          <w:vertAlign w:val="superscript"/>
        </w:rPr>
        <w:t>3</w:t>
      </w:r>
      <w:r w:rsidRPr="00A64C27">
        <w:t>/т/ч за счет концентрации потока нагнетаемого воздуха в соответствующем распределительном канале, над которым сформирован поддон. Вентилируют непрерывно наружным воздухом. Продолжительность вентиляции зависит от состояния картофеля. Если картофель сухой – вентилируют 1-1,5 суток, влажный и холодный – 3-4 суток.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Лечебный период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 xml:space="preserve">Первые две недели в хранилище после просушивания, клубни проходят лечебный период с целью </w:t>
      </w:r>
      <w:proofErr w:type="spellStart"/>
      <w:r w:rsidRPr="00A64C27">
        <w:t>залечивания</w:t>
      </w:r>
      <w:proofErr w:type="spellEnd"/>
      <w:r w:rsidRPr="00A64C27">
        <w:t xml:space="preserve"> повреждений. Заживление клубней от ручной копки происходит при температуре от 12 до 18 </w:t>
      </w:r>
      <w:r>
        <w:t>ºС</w:t>
      </w:r>
      <w:r w:rsidRPr="00A64C27">
        <w:t xml:space="preserve">. Вентилируют теплым влажным </w:t>
      </w:r>
      <w:proofErr w:type="spellStart"/>
      <w:r w:rsidRPr="00A64C27">
        <w:t>рециркуляционным</w:t>
      </w:r>
      <w:proofErr w:type="spellEnd"/>
      <w:r w:rsidRPr="00A64C27">
        <w:t xml:space="preserve"> воздухом хранилища 5-6 раз в сутки по 30 минут с перерывами 3-4 часа.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Период охлаждения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После лечебного периода наступает период охлаждения. Если повреждения незначительные, температуру снижают постепенно на 0,5</w:t>
      </w:r>
      <w:r>
        <w:t xml:space="preserve"> ºС</w:t>
      </w:r>
      <w:r w:rsidRPr="00A64C27">
        <w:t xml:space="preserve"> в сутки в течение 20-30 дней до температуры основного хранения.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Основной период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Поддерживается температура на уровне 2-4 °С, вент</w:t>
      </w:r>
      <w:r>
        <w:t>илируют 2-3 раза в неделю по 30 </w:t>
      </w:r>
      <w:r w:rsidRPr="00A64C27">
        <w:t>минут.</w:t>
      </w:r>
    </w:p>
    <w:p w:rsidR="00AA4F93" w:rsidRPr="00A64C27" w:rsidRDefault="00AA4F93" w:rsidP="00AA4F93">
      <w:pPr>
        <w:pStyle w:val="a6"/>
        <w:spacing w:line="360" w:lineRule="auto"/>
        <w:ind w:firstLine="708"/>
        <w:jc w:val="both"/>
      </w:pPr>
      <w:r w:rsidRPr="00A64C27">
        <w:t>Весенний период</w:t>
      </w:r>
    </w:p>
    <w:p w:rsidR="00AA4F93" w:rsidRDefault="00AA4F93" w:rsidP="00AA4F93">
      <w:r w:rsidRPr="00A64C27">
        <w:t>Для предупреждения раннего прорастания клубней картофеля, температуру понижают до 1,5-2 °С путем вентиляции в ночные и утренние часы суток.</w:t>
      </w:r>
    </w:p>
    <w:p w:rsidR="0044796E" w:rsidRDefault="0044796E"/>
    <w:p w:rsidR="00AA4F93" w:rsidRDefault="00AA4F93"/>
    <w:p w:rsidR="00AA4F93" w:rsidRDefault="00AA4F93"/>
    <w:p w:rsidR="00AA4F93" w:rsidRDefault="00AA4F93"/>
    <w:p w:rsidR="00AA4F93" w:rsidRDefault="00AA4F93"/>
    <w:p w:rsidR="00AA4F93" w:rsidRDefault="00AA4F93"/>
    <w:p w:rsidR="00AA4F93" w:rsidRDefault="00AA4F93"/>
    <w:p w:rsidR="00AA4F93" w:rsidRDefault="00AA4F93"/>
    <w:p w:rsidR="00AA4F93" w:rsidRDefault="00AA4F93"/>
    <w:p w:rsidR="00AA4F93" w:rsidRDefault="00AA4F93"/>
    <w:p w:rsidR="00AA4F93" w:rsidRPr="00AA4F93" w:rsidRDefault="00AA4F93" w:rsidP="00AA4F93">
      <w:pPr>
        <w:spacing w:line="360" w:lineRule="auto"/>
        <w:jc w:val="center"/>
        <w:rPr>
          <w:lang w:eastAsia="en-US"/>
        </w:rPr>
      </w:pPr>
      <w:r w:rsidRPr="00AA4F93">
        <w:rPr>
          <w:lang w:eastAsia="en-US"/>
        </w:rPr>
        <w:lastRenderedPageBreak/>
        <w:t>Стандартная операционная процедура</w:t>
      </w:r>
    </w:p>
    <w:p w:rsidR="00AA4F93" w:rsidRPr="00AA4F93" w:rsidRDefault="00AA4F93" w:rsidP="00AA4F93">
      <w:pPr>
        <w:spacing w:line="360" w:lineRule="auto"/>
        <w:jc w:val="center"/>
        <w:rPr>
          <w:lang w:eastAsia="en-US"/>
        </w:rPr>
      </w:pPr>
      <w:r w:rsidRPr="00AA4F93">
        <w:rPr>
          <w:lang w:eastAsia="en-US"/>
        </w:rPr>
        <w:t xml:space="preserve">«Поддержание коллекции сортов картофеля в асептической культуре </w:t>
      </w:r>
      <w:proofErr w:type="spellStart"/>
      <w:r w:rsidRPr="00AA4F93">
        <w:rPr>
          <w:i/>
          <w:lang w:eastAsia="en-US"/>
        </w:rPr>
        <w:t>in</w:t>
      </w:r>
      <w:proofErr w:type="spellEnd"/>
      <w:r w:rsidRPr="00AA4F93">
        <w:rPr>
          <w:i/>
          <w:lang w:eastAsia="en-US"/>
        </w:rPr>
        <w:t xml:space="preserve"> </w:t>
      </w:r>
      <w:proofErr w:type="spellStart"/>
      <w:r w:rsidRPr="00AA4F93">
        <w:rPr>
          <w:i/>
          <w:lang w:eastAsia="en-US"/>
        </w:rPr>
        <w:t>vitro</w:t>
      </w:r>
      <w:proofErr w:type="spellEnd"/>
      <w:r w:rsidRPr="00AA4F93">
        <w:rPr>
          <w:lang w:eastAsia="en-US"/>
        </w:rPr>
        <w:t>»</w:t>
      </w:r>
    </w:p>
    <w:p w:rsidR="00AA4F93" w:rsidRPr="00AA4F93" w:rsidRDefault="00AA4F93" w:rsidP="00AA4F93">
      <w:pPr>
        <w:spacing w:line="360" w:lineRule="auto"/>
        <w:ind w:firstLine="709"/>
        <w:jc w:val="both"/>
        <w:rPr>
          <w:lang w:eastAsia="en-US"/>
        </w:rPr>
      </w:pPr>
      <w:r w:rsidRPr="00AA4F93">
        <w:rPr>
          <w:lang w:eastAsia="en-US"/>
        </w:rPr>
        <w:t>Составлено: Г.Ф. Сафиуллина, к.с.-</w:t>
      </w:r>
      <w:proofErr w:type="spellStart"/>
      <w:r w:rsidRPr="00AA4F93">
        <w:rPr>
          <w:lang w:eastAsia="en-US"/>
        </w:rPr>
        <w:t>х.н</w:t>
      </w:r>
      <w:proofErr w:type="spellEnd"/>
      <w:r w:rsidRPr="00AA4F93">
        <w:rPr>
          <w:lang w:eastAsia="en-US"/>
        </w:rPr>
        <w:t xml:space="preserve">., </w:t>
      </w:r>
      <w:proofErr w:type="spellStart"/>
      <w:r w:rsidRPr="00AA4F93">
        <w:rPr>
          <w:lang w:eastAsia="en-US"/>
        </w:rPr>
        <w:t>в.н.с</w:t>
      </w:r>
      <w:proofErr w:type="spellEnd"/>
      <w:r w:rsidRPr="00AA4F93">
        <w:rPr>
          <w:lang w:eastAsia="en-US"/>
        </w:rPr>
        <w:t xml:space="preserve">., А.Т. Гизатуллина, </w:t>
      </w:r>
      <w:proofErr w:type="spellStart"/>
      <w:r w:rsidRPr="00AA4F93">
        <w:rPr>
          <w:lang w:eastAsia="en-US"/>
        </w:rPr>
        <w:t>н.с</w:t>
      </w:r>
      <w:proofErr w:type="spellEnd"/>
      <w:r w:rsidRPr="00AA4F93">
        <w:rPr>
          <w:lang w:eastAsia="en-US"/>
        </w:rPr>
        <w:t>.</w:t>
      </w:r>
    </w:p>
    <w:p w:rsidR="00AA4F93" w:rsidRPr="00AA4F93" w:rsidRDefault="00AA4F93" w:rsidP="00AA4F93">
      <w:pPr>
        <w:spacing w:line="360" w:lineRule="auto"/>
        <w:ind w:firstLine="709"/>
        <w:jc w:val="both"/>
        <w:rPr>
          <w:lang w:eastAsia="en-US"/>
        </w:rPr>
      </w:pPr>
      <w:r w:rsidRPr="00AA4F93">
        <w:rPr>
          <w:lang w:eastAsia="en-US"/>
        </w:rPr>
        <w:t xml:space="preserve">Содержание и назначение: поддержание коллекции сортов картофеля </w:t>
      </w:r>
      <w:proofErr w:type="spellStart"/>
      <w:r w:rsidRPr="00AA4F93">
        <w:rPr>
          <w:lang w:eastAsia="en-US"/>
        </w:rPr>
        <w:t>in</w:t>
      </w:r>
      <w:proofErr w:type="spellEnd"/>
      <w:r w:rsidRPr="00AA4F93">
        <w:rPr>
          <w:lang w:eastAsia="en-US"/>
        </w:rPr>
        <w:t xml:space="preserve"> </w:t>
      </w:r>
      <w:proofErr w:type="spellStart"/>
      <w:r w:rsidRPr="00AA4F93">
        <w:rPr>
          <w:lang w:eastAsia="en-US"/>
        </w:rPr>
        <w:t>vitro</w:t>
      </w:r>
      <w:proofErr w:type="spellEnd"/>
      <w:r w:rsidRPr="00AA4F93">
        <w:rPr>
          <w:lang w:eastAsia="en-US"/>
        </w:rPr>
        <w:t xml:space="preserve"> и предоставление селекционерам, специалистам и иным заинтересованным лицам для работы с этими коллекциями</w:t>
      </w:r>
    </w:p>
    <w:p w:rsidR="00AA4F93" w:rsidRPr="00AA4F93" w:rsidRDefault="00AA4F93" w:rsidP="00AA4F93">
      <w:pPr>
        <w:spacing w:line="360" w:lineRule="auto"/>
        <w:ind w:firstLine="709"/>
        <w:jc w:val="both"/>
        <w:rPr>
          <w:lang w:eastAsia="en-US"/>
        </w:rPr>
      </w:pPr>
      <w:r w:rsidRPr="00AA4F93">
        <w:rPr>
          <w:lang w:eastAsia="en-US"/>
        </w:rPr>
        <w:t>Местонахождение:</w:t>
      </w:r>
      <w:r w:rsidRPr="00AA4F93">
        <w:t xml:space="preserve"> </w:t>
      </w:r>
      <w:proofErr w:type="spellStart"/>
      <w:r w:rsidRPr="00AA4F93">
        <w:t>ТатНИИСХ</w:t>
      </w:r>
      <w:proofErr w:type="spellEnd"/>
      <w:r w:rsidRPr="00AA4F93">
        <w:t xml:space="preserve"> - </w:t>
      </w:r>
      <w:r w:rsidRPr="00AA4F93">
        <w:rPr>
          <w:shd w:val="clear" w:color="auto" w:fill="FFFFFF"/>
        </w:rPr>
        <w:t xml:space="preserve">обособленное структурное подразделение ФИЦ </w:t>
      </w:r>
      <w:proofErr w:type="spellStart"/>
      <w:r w:rsidRPr="00AA4F93">
        <w:rPr>
          <w:shd w:val="clear" w:color="auto" w:fill="FFFFFF"/>
        </w:rPr>
        <w:t>КазНЦ</w:t>
      </w:r>
      <w:proofErr w:type="spellEnd"/>
      <w:r w:rsidRPr="00AA4F93">
        <w:rPr>
          <w:shd w:val="clear" w:color="auto" w:fill="FFFFFF"/>
        </w:rPr>
        <w:t xml:space="preserve"> РАН</w:t>
      </w:r>
    </w:p>
    <w:p w:rsidR="00AA4F93" w:rsidRPr="00AA4F93" w:rsidRDefault="00AA4F93" w:rsidP="00AA4F93">
      <w:pPr>
        <w:spacing w:line="360" w:lineRule="auto"/>
        <w:ind w:firstLine="709"/>
        <w:jc w:val="both"/>
        <w:rPr>
          <w:lang w:eastAsia="en-US"/>
        </w:rPr>
      </w:pPr>
      <w:r w:rsidRPr="00AA4F93">
        <w:rPr>
          <w:lang w:eastAsia="en-US"/>
        </w:rPr>
        <w:t xml:space="preserve">Пересмотр через: 1 год 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Введение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В мировой практике для сохранения генетического разнообразия вегетативно размножаемых культур кроме полевых коллекций используют также технологии </w:t>
      </w:r>
      <w:r w:rsidRPr="00AA4F93">
        <w:rPr>
          <w:lang w:val="en-US"/>
        </w:rPr>
        <w:t>in</w:t>
      </w:r>
      <w:r w:rsidRPr="00AA4F93">
        <w:t xml:space="preserve"> </w:t>
      </w:r>
      <w:r w:rsidRPr="00AA4F93">
        <w:rPr>
          <w:lang w:val="en-US"/>
        </w:rPr>
        <w:t>vitro</w:t>
      </w:r>
      <w:r w:rsidRPr="00AA4F93">
        <w:t xml:space="preserve"> и методы </w:t>
      </w:r>
      <w:proofErr w:type="spellStart"/>
      <w:r w:rsidRPr="00AA4F93">
        <w:t>криоконсервации</w:t>
      </w:r>
      <w:proofErr w:type="spellEnd"/>
      <w:r w:rsidRPr="00AA4F93">
        <w:t xml:space="preserve">. На сегодняшний день методы хранения оздоровленных растений </w:t>
      </w:r>
      <w:r w:rsidRPr="00AA4F93">
        <w:rPr>
          <w:lang w:val="en-US"/>
        </w:rPr>
        <w:t>in</w:t>
      </w:r>
      <w:r w:rsidRPr="00AA4F93">
        <w:t xml:space="preserve"> </w:t>
      </w:r>
      <w:r w:rsidRPr="00AA4F93">
        <w:rPr>
          <w:lang w:val="en-US"/>
        </w:rPr>
        <w:t>vitro</w:t>
      </w:r>
      <w:r w:rsidRPr="00AA4F93">
        <w:t xml:space="preserve"> являются практически единственным надежным способом сохранения генофонда вегетативно размножаемых растений, обеспечивающим надежную изоляцию и сохранность растений от всевозможных патогенов.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Поддержание вегетативно размножаемых растений в виде коллекций </w:t>
      </w:r>
      <w:r w:rsidRPr="00AA4F93">
        <w:rPr>
          <w:lang w:val="en-US"/>
        </w:rPr>
        <w:t>in</w:t>
      </w:r>
      <w:r w:rsidRPr="00AA4F93">
        <w:t xml:space="preserve"> </w:t>
      </w:r>
      <w:r w:rsidRPr="00AA4F93">
        <w:rPr>
          <w:lang w:val="en-US"/>
        </w:rPr>
        <w:t>vitro</w:t>
      </w:r>
      <w:r w:rsidRPr="00AA4F93">
        <w:t xml:space="preserve"> значительно расширит область практического использования генофонда данных культур, предоставив возможности для использования различных методов биотехнологии, что существенно ускорит селекционный процесс.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Цель разработки стандартной операционной процедуры состоит в унификации протокола поддержания единиц хранения Коллекции.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Разработанная СОП рекомендована для использования в подразделениях, работающих с картофелем в асептической культуре </w:t>
      </w:r>
      <w:proofErr w:type="spellStart"/>
      <w:r w:rsidRPr="00AA4F93">
        <w:t>in</w:t>
      </w:r>
      <w:proofErr w:type="spellEnd"/>
      <w:r w:rsidRPr="00AA4F93">
        <w:t xml:space="preserve"> </w:t>
      </w:r>
      <w:proofErr w:type="spellStart"/>
      <w:r w:rsidRPr="00AA4F93">
        <w:t>vitro</w:t>
      </w:r>
      <w:proofErr w:type="spellEnd"/>
      <w:r w:rsidRPr="00AA4F93">
        <w:t>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Все работы, проводимые в условиях лаборатории должны вестись в соответствии с правилами пожарной безопасности и охраны труда. Процедуры, требующие стерильности, проводят в ламинарных боксах, классом безопасности не ниже </w:t>
      </w:r>
      <w:r w:rsidRPr="00AA4F93">
        <w:rPr>
          <w:lang w:val="en-US"/>
        </w:rPr>
        <w:t>II</w:t>
      </w:r>
      <w:r w:rsidRPr="00AA4F93">
        <w:t xml:space="preserve">.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Все оборудование проходит процедуру калибровки сотрудниками лаборатории с периодичностью и с использованием методов, как это указано производителем. Все расходные материалы и реактивы должны иметь соответствующие сертификаты качества и храниться соответственно спецификации.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Контроль выполнения пунктов протокола возлагается на Руководителя работ. Ответственность за выполнение данной процедуры несут все сотрудники, участвующие в исследовании.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Оборудование и материалы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lastRenderedPageBreak/>
        <w:t>Перечень необходимого оборудования и расходных материалов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Лабораторное оборудование: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рН-метр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Набор пипеток 100, 200, 1000 </w:t>
      </w:r>
      <w:proofErr w:type="spellStart"/>
      <w:r w:rsidRPr="00AA4F93">
        <w:t>мкл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>Пипеточный дозатор 0,5–100 мл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Плита электрическая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Дистиллятор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Стерилизатор паровой </w:t>
      </w:r>
    </w:p>
    <w:p w:rsidR="00AA4F93" w:rsidRPr="00AA4F93" w:rsidRDefault="00AA4F93" w:rsidP="00AA4F93">
      <w:pPr>
        <w:spacing w:line="360" w:lineRule="auto"/>
        <w:ind w:firstLine="709"/>
      </w:pPr>
      <w:proofErr w:type="spellStart"/>
      <w:r w:rsidRPr="00AA4F93">
        <w:t>Ламинар</w:t>
      </w:r>
      <w:proofErr w:type="spellEnd"/>
      <w:r w:rsidRPr="00AA4F93">
        <w:t>-бокс II класса защиты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Дозатор поршневой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Весы электронные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Сушильный шкаф 100-130 °С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Стерилизатор воздуха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Устройство для намотки ватных пробок - АО ОКТБ Кристалл</w:t>
      </w:r>
    </w:p>
    <w:p w:rsidR="00AA4F93" w:rsidRPr="00AA4F93" w:rsidRDefault="00AA4F93" w:rsidP="00AA4F93">
      <w:pPr>
        <w:spacing w:line="360" w:lineRule="auto"/>
        <w:ind w:firstLine="709"/>
      </w:pPr>
    </w:p>
    <w:p w:rsidR="00AA4F93" w:rsidRPr="00AA4F93" w:rsidRDefault="00AA4F93" w:rsidP="00AA4F93">
      <w:pPr>
        <w:spacing w:line="360" w:lineRule="auto"/>
        <w:ind w:firstLine="709"/>
      </w:pPr>
      <w:r w:rsidRPr="00AA4F93">
        <w:t>Расходные материалы и реактивы: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Агар-агар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Сахарный песок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Дезинфицирующий раствор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Аммоний </w:t>
      </w:r>
      <w:proofErr w:type="spellStart"/>
      <w:r w:rsidRPr="00AA4F93">
        <w:t>азотокислый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>Калий азотнокислый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Кальций хлорид 2 водный 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Сульфат магния 7 водный 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Калий фосфат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Микроэлементы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Борная кислота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Марганец сернокислый </w:t>
      </w:r>
      <w:proofErr w:type="spellStart"/>
      <w:r w:rsidRPr="00AA4F93">
        <w:t>четырехводный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Цинк сернокислый </w:t>
      </w:r>
      <w:proofErr w:type="spellStart"/>
      <w:r w:rsidRPr="00AA4F93">
        <w:t>четырехводный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>Калий йодистый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Натрий </w:t>
      </w:r>
      <w:proofErr w:type="spellStart"/>
      <w:r w:rsidRPr="00AA4F93">
        <w:t>молибденовокислый</w:t>
      </w:r>
      <w:proofErr w:type="spellEnd"/>
      <w:r w:rsidRPr="00AA4F93">
        <w:t xml:space="preserve"> </w:t>
      </w:r>
      <w:proofErr w:type="spellStart"/>
      <w:r w:rsidRPr="00AA4F93">
        <w:t>двухводный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Медь сернокислая </w:t>
      </w:r>
      <w:proofErr w:type="spellStart"/>
      <w:r w:rsidRPr="00AA4F93">
        <w:t>пятиводная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Кобальт хлористый </w:t>
      </w:r>
      <w:proofErr w:type="spellStart"/>
      <w:r w:rsidRPr="00AA4F93">
        <w:t>шестиводный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proofErr w:type="spellStart"/>
      <w:r w:rsidRPr="00AA4F93">
        <w:t>Трилон</w:t>
      </w:r>
      <w:proofErr w:type="spellEnd"/>
      <w:r w:rsidRPr="00AA4F93">
        <w:t xml:space="preserve"> Б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Железо сернокислое </w:t>
      </w:r>
      <w:proofErr w:type="spellStart"/>
      <w:r w:rsidRPr="00AA4F93">
        <w:t>семиводное</w:t>
      </w:r>
      <w:proofErr w:type="spellEnd"/>
    </w:p>
    <w:p w:rsidR="00AA4F93" w:rsidRPr="00AA4F93" w:rsidRDefault="00AA4F93" w:rsidP="00AA4F93">
      <w:pPr>
        <w:spacing w:line="360" w:lineRule="auto"/>
        <w:ind w:firstLine="709"/>
      </w:pPr>
      <w:proofErr w:type="spellStart"/>
      <w:r w:rsidRPr="00AA4F93">
        <w:t>Пантотенат</w:t>
      </w:r>
      <w:proofErr w:type="spellEnd"/>
      <w:r w:rsidRPr="00AA4F93">
        <w:t xml:space="preserve"> кальция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lastRenderedPageBreak/>
        <w:t>Тиамин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Пиридоксин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Аскорбиновая кислота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Колба плоскодонная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Стеклянная палочка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Пробирка биологическая, 200 мм длина, 14 мм диаметр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Цилиндр мерный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Стаканчик стеклянный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Чашка Петри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Спиртовка стеклянная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Ножницы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Пинцет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 xml:space="preserve">Скальпель 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Штатив п/э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Халат медицинский</w:t>
      </w:r>
    </w:p>
    <w:p w:rsidR="00AA4F93" w:rsidRPr="00AA4F93" w:rsidRDefault="00AA4F93" w:rsidP="00AA4F93">
      <w:pPr>
        <w:spacing w:line="360" w:lineRule="auto"/>
        <w:ind w:firstLine="709"/>
      </w:pPr>
      <w:r w:rsidRPr="00AA4F93">
        <w:t>Резиновые тапочки</w:t>
      </w:r>
    </w:p>
    <w:p w:rsidR="00AA4F93" w:rsidRPr="00AA4F93" w:rsidRDefault="00AA4F93" w:rsidP="00AA4F93">
      <w:pPr>
        <w:tabs>
          <w:tab w:val="left" w:pos="426"/>
        </w:tabs>
        <w:spacing w:line="360" w:lineRule="auto"/>
        <w:ind w:firstLine="709"/>
      </w:pP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Оборудование, задействованное для общего обеспечения деятельности коллекции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Кондиционер: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 - Внешний блок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 - Внешний блок GU-S36HR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 - </w:t>
      </w:r>
      <w:proofErr w:type="spellStart"/>
      <w:r w:rsidRPr="00AA4F93">
        <w:t>Внутр.блок</w:t>
      </w:r>
      <w:proofErr w:type="spellEnd"/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 - </w:t>
      </w:r>
      <w:proofErr w:type="spellStart"/>
      <w:r w:rsidRPr="00AA4F93">
        <w:t>Внутр</w:t>
      </w:r>
      <w:proofErr w:type="spellEnd"/>
      <w:r w:rsidRPr="00AA4F93">
        <w:t>. блок GC-S36HR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Холодильник Стинол 256Q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Стеллаж различных модификаций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Компьютер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Монитор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Принтер</w:t>
      </w:r>
    </w:p>
    <w:p w:rsidR="00AA4F93" w:rsidRPr="00AA4F93" w:rsidRDefault="00AA4F93" w:rsidP="00AA4F93">
      <w:pPr>
        <w:spacing w:line="360" w:lineRule="auto"/>
        <w:ind w:firstLine="709"/>
        <w:jc w:val="both"/>
      </w:pP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Материальные затраты для общего обеспечения деятельности коллекции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Лампа </w:t>
      </w:r>
      <w:proofErr w:type="spellStart"/>
      <w:r w:rsidRPr="00AA4F93">
        <w:t>люминисцентная</w:t>
      </w:r>
      <w:proofErr w:type="spellEnd"/>
    </w:p>
    <w:p w:rsidR="00AA4F93" w:rsidRPr="00AA4F93" w:rsidRDefault="00AA4F93" w:rsidP="00AA4F93">
      <w:pPr>
        <w:spacing w:line="360" w:lineRule="auto"/>
        <w:ind w:firstLine="709"/>
        <w:jc w:val="both"/>
      </w:pPr>
      <w:proofErr w:type="gramStart"/>
      <w:r w:rsidRPr="00AA4F93">
        <w:t>Ведро</w:t>
      </w:r>
      <w:proofErr w:type="gramEnd"/>
      <w:r w:rsidRPr="00AA4F93">
        <w:t xml:space="preserve"> эмалированное 12 л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Губка для мытья посуды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Средство для мытья посуды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Полотенце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lastRenderedPageBreak/>
        <w:t>Средство чистящее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Щетка для мытья посуды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Таз круглый 14 л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Таз круглый 16 л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Коврик диэлектрический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Канцтовары (ручки, тетради, маркеры, бумага, папки т.п.)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Замок врезной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Ведро для мусора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Мешки для мусора 20 л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Салфетка вискозная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Рукавицы брезентовые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Перчатки хозяйственные М, L</w:t>
      </w:r>
    </w:p>
    <w:p w:rsidR="00AA4F93" w:rsidRPr="00AA4F93" w:rsidRDefault="00AA4F93" w:rsidP="00AA4F93">
      <w:pPr>
        <w:spacing w:line="360" w:lineRule="auto"/>
        <w:ind w:firstLine="709"/>
        <w:jc w:val="both"/>
      </w:pP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Поддержание коллекции сортов картофеля в асептической культуре </w:t>
      </w:r>
      <w:proofErr w:type="spellStart"/>
      <w:r w:rsidRPr="00AA4F93">
        <w:t>in</w:t>
      </w:r>
      <w:proofErr w:type="spellEnd"/>
      <w:r w:rsidRPr="00AA4F93">
        <w:t xml:space="preserve"> </w:t>
      </w:r>
      <w:proofErr w:type="spellStart"/>
      <w:r w:rsidRPr="00AA4F93">
        <w:t>vitro</w:t>
      </w:r>
      <w:proofErr w:type="spellEnd"/>
    </w:p>
    <w:p w:rsidR="00AA4F93" w:rsidRPr="00AA4F93" w:rsidRDefault="00AA4F93" w:rsidP="00AA4F93">
      <w:pPr>
        <w:spacing w:line="360" w:lineRule="auto"/>
        <w:ind w:firstLine="709"/>
        <w:jc w:val="both"/>
      </w:pPr>
      <w:proofErr w:type="spellStart"/>
      <w:r w:rsidRPr="00AA4F93">
        <w:t>Микроразмножение</w:t>
      </w:r>
      <w:proofErr w:type="spellEnd"/>
      <w:r w:rsidRPr="00AA4F93">
        <w:t xml:space="preserve"> растений, самый длительный этап, на котором микрорастения поддерживаются достаточно длительное время без контакта с внешней средой. Приготовление </w:t>
      </w:r>
      <w:proofErr w:type="spellStart"/>
      <w:r w:rsidRPr="00AA4F93">
        <w:t>агаризованных</w:t>
      </w:r>
      <w:proofErr w:type="spellEnd"/>
      <w:r w:rsidRPr="00AA4F93">
        <w:t xml:space="preserve"> </w:t>
      </w:r>
      <w:proofErr w:type="spellStart"/>
      <w:r w:rsidRPr="00AA4F93">
        <w:t>пиаттельных</w:t>
      </w:r>
      <w:proofErr w:type="spellEnd"/>
      <w:r w:rsidRPr="00AA4F93">
        <w:t xml:space="preserve"> сред включает: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Подготовка растворов</w:t>
      </w:r>
    </w:p>
    <w:p w:rsidR="00AA4F93" w:rsidRPr="00AA4F93" w:rsidRDefault="00AA4F93" w:rsidP="00AA4F93">
      <w:pPr>
        <w:spacing w:line="360" w:lineRule="auto"/>
        <w:ind w:left="709"/>
        <w:jc w:val="both"/>
      </w:pPr>
      <w:r w:rsidRPr="00AA4F93">
        <w:t xml:space="preserve">Приготовление маточных растворов: макроэлементов, микроэлементов, витаминов, </w:t>
      </w:r>
      <w:proofErr w:type="spellStart"/>
      <w:r w:rsidRPr="00AA4F93">
        <w:t>хелата</w:t>
      </w:r>
      <w:proofErr w:type="spellEnd"/>
      <w:r w:rsidRPr="00AA4F93">
        <w:t>.</w:t>
      </w:r>
    </w:p>
    <w:p w:rsidR="00AA4F93" w:rsidRPr="00AA4F93" w:rsidRDefault="00AA4F93" w:rsidP="00AA4F93">
      <w:pPr>
        <w:spacing w:line="360" w:lineRule="auto"/>
        <w:ind w:left="709"/>
        <w:jc w:val="both"/>
      </w:pPr>
      <w:r w:rsidRPr="00AA4F93">
        <w:t xml:space="preserve">0,1 н </w:t>
      </w:r>
      <w:proofErr w:type="spellStart"/>
      <w:r w:rsidRPr="00AA4F93">
        <w:t>HCl</w:t>
      </w:r>
      <w:proofErr w:type="spellEnd"/>
      <w:r w:rsidRPr="00AA4F93">
        <w:t xml:space="preserve"> </w:t>
      </w:r>
    </w:p>
    <w:p w:rsidR="00AA4F93" w:rsidRPr="00AA4F93" w:rsidRDefault="00AA4F93" w:rsidP="00AA4F93">
      <w:pPr>
        <w:spacing w:line="360" w:lineRule="auto"/>
        <w:ind w:left="709"/>
        <w:jc w:val="both"/>
      </w:pPr>
      <w:r w:rsidRPr="00AA4F93">
        <w:t xml:space="preserve">0,1 н КОН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Приготовление питательной среды </w:t>
      </w:r>
      <w:proofErr w:type="spellStart"/>
      <w:r w:rsidRPr="00AA4F93">
        <w:t>Мурасиге</w:t>
      </w:r>
      <w:proofErr w:type="spellEnd"/>
      <w:r w:rsidRPr="00AA4F93">
        <w:t xml:space="preserve"> – </w:t>
      </w:r>
      <w:proofErr w:type="spellStart"/>
      <w:r w:rsidRPr="00AA4F93">
        <w:t>Скуга</w:t>
      </w:r>
      <w:proofErr w:type="spellEnd"/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Смешивание необходимых макро-, микроэлементов, источников углерода, витаминов, </w:t>
      </w:r>
      <w:proofErr w:type="spellStart"/>
      <w:r w:rsidRPr="00AA4F93">
        <w:t>агара</w:t>
      </w:r>
      <w:proofErr w:type="spellEnd"/>
      <w:r w:rsidRPr="00AA4F93">
        <w:t>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Доведения </w:t>
      </w:r>
      <w:proofErr w:type="spellStart"/>
      <w:r w:rsidRPr="00AA4F93">
        <w:t>pH</w:t>
      </w:r>
      <w:proofErr w:type="spellEnd"/>
      <w:r w:rsidRPr="00AA4F93">
        <w:t xml:space="preserve"> до необходимого уровня (5,5-5,7).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Нагрев среды и плавление </w:t>
      </w:r>
      <w:proofErr w:type="spellStart"/>
      <w:r w:rsidRPr="00AA4F93">
        <w:t>агара</w:t>
      </w:r>
      <w:proofErr w:type="spellEnd"/>
      <w:r w:rsidRPr="00AA4F93">
        <w:t>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Разлив горячей питательной среды с помощью дозатора по 10 мл в пробирки, закрыть ватными пробками.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Поместить пробирки в бюксы, накрыть пергаментной бумагой и подготовить к стерилизации.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Автоклав привести в рабочее состояние: закрыть плотно крышку, воду залить до метки. Включить автоклав, давление пара довести до метки 1,2 атм. (в паровой камере), заполнить паром стерилизационную камеру, вытеснить конденсат в течении 10 минут, при </w:t>
      </w:r>
      <w:r w:rsidRPr="00AA4F93">
        <w:lastRenderedPageBreak/>
        <w:t xml:space="preserve">этом давление пара в стерилизационной камере должно быть на уровне 0,1-0,2 атм. Довести давление в стерилизационной камере до 1 атм., включить автоматический режим.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proofErr w:type="spellStart"/>
      <w:r w:rsidRPr="00AA4F93">
        <w:t>Автоклавировать</w:t>
      </w:r>
      <w:proofErr w:type="spellEnd"/>
      <w:r w:rsidRPr="00AA4F93">
        <w:t xml:space="preserve"> 20 минут при давлении в стерилизационной камере 1-1,2 атм.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Отключить автоклав, вытеснить пар из обеих камер довести давление до 0 атм.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proofErr w:type="spellStart"/>
      <w:r w:rsidRPr="00AA4F93">
        <w:t>Проавтоклавированные</w:t>
      </w:r>
      <w:proofErr w:type="spellEnd"/>
      <w:r w:rsidRPr="00AA4F93">
        <w:t xml:space="preserve"> материалы перенести в комнату для пересадки тканей и поместить в шкафы или на стеллажи.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Подготовка рабочего места и расходных материалов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Металлические инструменты завернуть в плотную бумагу и поместить в сушильный шкаф для стерилизации сухим жаром при t 170-200 ºС в течение 2 часов. 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Комната для черенкования перед работой обрабатывается хлорсодержащими моющими средствами и ультрафиолетовым облучением на протяжении 1 часа.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Рабочее место (</w:t>
      </w:r>
      <w:proofErr w:type="spellStart"/>
      <w:r w:rsidRPr="00AA4F93">
        <w:t>ламинар</w:t>
      </w:r>
      <w:proofErr w:type="spellEnd"/>
      <w:r w:rsidRPr="00AA4F93">
        <w:t>-бокс) перед работой обрабатывается ультрафиолетом на протяжении 30-60 минут и все поверхности протираются 96% спиртом.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Руки во время работы периодически протираются 96% спиртом по мере необходимости.</w:t>
      </w:r>
    </w:p>
    <w:p w:rsidR="00AA4F93" w:rsidRPr="00AA4F93" w:rsidRDefault="00AA4F93" w:rsidP="00AA4F93">
      <w:pPr>
        <w:tabs>
          <w:tab w:val="left" w:pos="709"/>
        </w:tabs>
        <w:spacing w:line="360" w:lineRule="auto"/>
        <w:ind w:firstLine="709"/>
        <w:jc w:val="both"/>
      </w:pPr>
    </w:p>
    <w:p w:rsidR="00AA4F93" w:rsidRPr="00AA4F93" w:rsidRDefault="00AA4F93" w:rsidP="00AA4F93">
      <w:pPr>
        <w:tabs>
          <w:tab w:val="left" w:pos="709"/>
        </w:tabs>
        <w:spacing w:line="360" w:lineRule="auto"/>
        <w:ind w:firstLine="709"/>
        <w:jc w:val="center"/>
      </w:pPr>
      <w:r w:rsidRPr="00AA4F93">
        <w:t xml:space="preserve">Культивирование </w:t>
      </w:r>
      <w:proofErr w:type="spellStart"/>
      <w:r w:rsidRPr="00AA4F93">
        <w:t>микрочеренков</w:t>
      </w:r>
      <w:proofErr w:type="spellEnd"/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Культивируемые </w:t>
      </w:r>
      <w:proofErr w:type="spellStart"/>
      <w:r w:rsidRPr="00AA4F93">
        <w:t>экспланты</w:t>
      </w:r>
      <w:proofErr w:type="spellEnd"/>
      <w:r w:rsidRPr="00AA4F93">
        <w:t xml:space="preserve"> достаются из пробирки на чашку </w:t>
      </w:r>
      <w:proofErr w:type="spellStart"/>
      <w:r w:rsidRPr="00AA4F93">
        <w:t>петри</w:t>
      </w:r>
      <w:proofErr w:type="spellEnd"/>
      <w:r w:rsidRPr="00AA4F93">
        <w:t xml:space="preserve">, где производится их деление на </w:t>
      </w:r>
      <w:proofErr w:type="spellStart"/>
      <w:r w:rsidRPr="00AA4F93">
        <w:t>микрочеренки</w:t>
      </w:r>
      <w:proofErr w:type="spellEnd"/>
      <w:r w:rsidRPr="00AA4F93">
        <w:t xml:space="preserve"> при помощи пинцета и скальпеля.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Затем их помещают на свежую питательную среду.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В последующем пробирки в штативе ставятся на стеллажи в </w:t>
      </w:r>
      <w:proofErr w:type="spellStart"/>
      <w:r w:rsidRPr="00AA4F93">
        <w:t>светокомнату</w:t>
      </w:r>
      <w:proofErr w:type="spellEnd"/>
      <w:r w:rsidRPr="00AA4F93">
        <w:t xml:space="preserve"> с заданными условиями и культивируются при 5-6 </w:t>
      </w:r>
      <w:proofErr w:type="spellStart"/>
      <w:r w:rsidRPr="00AA4F93">
        <w:t>лк</w:t>
      </w:r>
      <w:proofErr w:type="spellEnd"/>
      <w:r w:rsidRPr="00AA4F93">
        <w:t xml:space="preserve"> 24-25 ºС днем и 19-20 ºС ночью, продолжительностью фотопериода 16 часов. Время депонирования пробирочной коллекции составляет 1 месяц.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 xml:space="preserve">Процесс повторяется многократно, длительность поддержания образцов коллекции </w:t>
      </w:r>
      <w:proofErr w:type="spellStart"/>
      <w:r w:rsidRPr="00AA4F93">
        <w:t>in</w:t>
      </w:r>
      <w:proofErr w:type="spellEnd"/>
      <w:r w:rsidRPr="00AA4F93">
        <w:t xml:space="preserve"> </w:t>
      </w:r>
      <w:proofErr w:type="spellStart"/>
      <w:r w:rsidRPr="00AA4F93">
        <w:t>vitro</w:t>
      </w:r>
      <w:proofErr w:type="spellEnd"/>
      <w:r w:rsidRPr="00AA4F93">
        <w:t xml:space="preserve"> может составлять 10-15 лет и более.</w:t>
      </w:r>
    </w:p>
    <w:p w:rsidR="00AA4F93" w:rsidRPr="00AA4F93" w:rsidRDefault="00AA4F93" w:rsidP="00AA4F93">
      <w:pPr>
        <w:spacing w:line="360" w:lineRule="auto"/>
        <w:ind w:firstLine="709"/>
        <w:jc w:val="both"/>
      </w:pPr>
      <w:r w:rsidRPr="00AA4F93">
        <w:t>После проведения пересадки микрорастений, стеклянную посуду тщательно моют, запаковывают в бумагу и высушивают в сушильном шкафу при температуре 140-150 ºС в течении 4 часов, после ее остывания переносят в комнату для хранения и по необходимости используют повторно.</w:t>
      </w:r>
    </w:p>
    <w:p w:rsidR="00AA4F93" w:rsidRPr="00AA4F93" w:rsidRDefault="00AA4F93" w:rsidP="00AA4F93">
      <w:pPr>
        <w:tabs>
          <w:tab w:val="left" w:pos="360"/>
        </w:tabs>
        <w:spacing w:line="360" w:lineRule="auto"/>
        <w:ind w:firstLine="709"/>
        <w:jc w:val="both"/>
      </w:pPr>
      <w:r w:rsidRPr="00AA4F93">
        <w:t xml:space="preserve">При подготовке СОП «Поддержание коллекции сортов картофеля в асептической культуре </w:t>
      </w:r>
      <w:proofErr w:type="spellStart"/>
      <w:r w:rsidRPr="00AA4F93">
        <w:t>in</w:t>
      </w:r>
      <w:proofErr w:type="spellEnd"/>
      <w:r w:rsidRPr="00AA4F93">
        <w:t xml:space="preserve"> </w:t>
      </w:r>
      <w:proofErr w:type="spellStart"/>
      <w:r w:rsidRPr="00AA4F93">
        <w:t>vitro</w:t>
      </w:r>
      <w:proofErr w:type="spellEnd"/>
      <w:r w:rsidRPr="00AA4F93">
        <w:t>»:</w:t>
      </w:r>
    </w:p>
    <w:p w:rsidR="00AA4F93" w:rsidRPr="00AA4F93" w:rsidRDefault="00AA4F93" w:rsidP="00AA4F93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160" w:line="360" w:lineRule="auto"/>
        <w:ind w:firstLine="709"/>
        <w:jc w:val="both"/>
        <w:textAlignment w:val="baseline"/>
        <w:rPr>
          <w:lang w:val="en-US"/>
        </w:rPr>
      </w:pPr>
      <w:proofErr w:type="spellStart"/>
      <w:r w:rsidRPr="00AA4F93">
        <w:rPr>
          <w:lang w:val="en-US"/>
        </w:rPr>
        <w:t>Murashige</w:t>
      </w:r>
      <w:proofErr w:type="spellEnd"/>
      <w:r w:rsidRPr="00AA4F93">
        <w:rPr>
          <w:lang w:val="en-US"/>
        </w:rPr>
        <w:t xml:space="preserve">, T. A revised medium for rapid growth and bioassays with tobacco tissue cultures / </w:t>
      </w:r>
      <w:proofErr w:type="spellStart"/>
      <w:r w:rsidRPr="00AA4F93">
        <w:rPr>
          <w:lang w:val="en-US"/>
        </w:rPr>
        <w:t>Murashige</w:t>
      </w:r>
      <w:proofErr w:type="spellEnd"/>
      <w:r w:rsidRPr="00AA4F93">
        <w:rPr>
          <w:lang w:val="en-US"/>
        </w:rPr>
        <w:t xml:space="preserve"> T and Skoog F // </w:t>
      </w:r>
      <w:proofErr w:type="spellStart"/>
      <w:r w:rsidRPr="00AA4F93">
        <w:rPr>
          <w:lang w:val="en-US"/>
        </w:rPr>
        <w:t>Physiol</w:t>
      </w:r>
      <w:proofErr w:type="spellEnd"/>
      <w:r w:rsidRPr="00AA4F93">
        <w:rPr>
          <w:lang w:val="en-US"/>
        </w:rPr>
        <w:t xml:space="preserve"> Plant</w:t>
      </w:r>
      <w:r w:rsidRPr="00AA4F93">
        <w:rPr>
          <w:rFonts w:eastAsia="Times-AH"/>
          <w:lang w:val="en-US"/>
        </w:rPr>
        <w:t>.</w:t>
      </w:r>
      <w:r w:rsidRPr="00AA4F93">
        <w:rPr>
          <w:lang w:val="en-US"/>
        </w:rPr>
        <w:t xml:space="preserve"> – 1962. – V. 15. – P. 473-497.</w:t>
      </w:r>
    </w:p>
    <w:p w:rsidR="00AA4F93" w:rsidRPr="00AA4F93" w:rsidRDefault="00AA4F93" w:rsidP="00AA4F93">
      <w:pPr>
        <w:numPr>
          <w:ilvl w:val="0"/>
          <w:numId w:val="1"/>
        </w:numPr>
        <w:spacing w:after="160" w:line="360" w:lineRule="auto"/>
        <w:ind w:firstLine="709"/>
        <w:contextualSpacing/>
        <w:jc w:val="both"/>
        <w:rPr>
          <w:rFonts w:eastAsiaTheme="minorEastAsia"/>
          <w:lang w:eastAsia="en-US"/>
        </w:rPr>
      </w:pPr>
      <w:r w:rsidRPr="00AA4F93">
        <w:rPr>
          <w:rFonts w:eastAsiaTheme="minorEastAsia"/>
          <w:lang w:eastAsia="en-US"/>
        </w:rPr>
        <w:lastRenderedPageBreak/>
        <w:t xml:space="preserve">Бутенко, Р.Г. Биотехнология. Кн. 3: Клеточная инженерия. М.: </w:t>
      </w:r>
      <w:proofErr w:type="spellStart"/>
      <w:r w:rsidRPr="00AA4F93">
        <w:rPr>
          <w:rFonts w:eastAsiaTheme="minorEastAsia"/>
          <w:lang w:eastAsia="en-US"/>
        </w:rPr>
        <w:t>Высш</w:t>
      </w:r>
      <w:proofErr w:type="spellEnd"/>
      <w:r w:rsidRPr="00AA4F93">
        <w:rPr>
          <w:rFonts w:eastAsiaTheme="minorEastAsia"/>
          <w:lang w:eastAsia="en-US"/>
        </w:rPr>
        <w:t xml:space="preserve">. </w:t>
      </w:r>
      <w:proofErr w:type="spellStart"/>
      <w:r w:rsidRPr="00AA4F93">
        <w:rPr>
          <w:rFonts w:eastAsiaTheme="minorEastAsia"/>
          <w:lang w:eastAsia="en-US"/>
        </w:rPr>
        <w:t>Шк</w:t>
      </w:r>
      <w:proofErr w:type="spellEnd"/>
      <w:r w:rsidRPr="00AA4F93">
        <w:rPr>
          <w:rFonts w:eastAsiaTheme="minorEastAsia"/>
          <w:lang w:eastAsia="en-US"/>
        </w:rPr>
        <w:t>., 1990. – с. 127.</w:t>
      </w:r>
    </w:p>
    <w:p w:rsidR="00AA4F93" w:rsidRPr="00AA4F93" w:rsidRDefault="00AA4F93" w:rsidP="00AA4F93">
      <w:pPr>
        <w:numPr>
          <w:ilvl w:val="0"/>
          <w:numId w:val="1"/>
        </w:numPr>
        <w:spacing w:after="160" w:line="360" w:lineRule="auto"/>
        <w:ind w:firstLine="709"/>
        <w:jc w:val="both"/>
        <w:rPr>
          <w:rFonts w:eastAsia="Calibri"/>
          <w:shd w:val="clear" w:color="auto" w:fill="FFFFFF"/>
        </w:rPr>
      </w:pPr>
      <w:r w:rsidRPr="00AA4F93">
        <w:rPr>
          <w:rFonts w:eastAsia="Century Schoolbook"/>
          <w:shd w:val="clear" w:color="auto" w:fill="FFFFFF"/>
        </w:rPr>
        <w:t xml:space="preserve">Безвирусное семеноводство картофеля (рекомендации) / Л.Н. </w:t>
      </w:r>
      <w:proofErr w:type="spellStart"/>
      <w:r w:rsidRPr="00AA4F93">
        <w:rPr>
          <w:rFonts w:eastAsia="Century Schoolbook"/>
          <w:shd w:val="clear" w:color="auto" w:fill="FFFFFF"/>
        </w:rPr>
        <w:t>Трофимец</w:t>
      </w:r>
      <w:proofErr w:type="spellEnd"/>
      <w:r w:rsidRPr="00AA4F93">
        <w:rPr>
          <w:rFonts w:eastAsia="Century Schoolbook"/>
          <w:shd w:val="clear" w:color="auto" w:fill="FFFFFF"/>
        </w:rPr>
        <w:t>, В.В. Бойко и др. – М.: ВО «</w:t>
      </w:r>
      <w:proofErr w:type="spellStart"/>
      <w:r w:rsidRPr="00AA4F93">
        <w:rPr>
          <w:rFonts w:eastAsia="Century Schoolbook"/>
          <w:shd w:val="clear" w:color="auto" w:fill="FFFFFF"/>
        </w:rPr>
        <w:t>Агропромиздат</w:t>
      </w:r>
      <w:proofErr w:type="spellEnd"/>
      <w:r w:rsidRPr="00AA4F93">
        <w:rPr>
          <w:rFonts w:eastAsia="Century Schoolbook"/>
          <w:shd w:val="clear" w:color="auto" w:fill="FFFFFF"/>
        </w:rPr>
        <w:t>», 1990. – 32 с.</w:t>
      </w:r>
    </w:p>
    <w:p w:rsidR="00AA4F93" w:rsidRPr="00AA4F93" w:rsidRDefault="00AA4F93" w:rsidP="00AA4F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4F93" w:rsidRDefault="00AA4F93"/>
    <w:sectPr w:rsidR="00AA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AH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6F67"/>
    <w:multiLevelType w:val="singleLevel"/>
    <w:tmpl w:val="F6F83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1A"/>
    <w:rsid w:val="000E661A"/>
    <w:rsid w:val="0044796E"/>
    <w:rsid w:val="00AA4F93"/>
    <w:rsid w:val="00B60113"/>
    <w:rsid w:val="00D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07C8-6C04-4D64-8614-E0CD63A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A4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AA4F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AA4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99"/>
    <w:locked/>
    <w:rsid w:val="00AA4F9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ЦБТК</dc:creator>
  <cp:keywords/>
  <dc:description/>
  <cp:lastModifiedBy>ЦБТК</cp:lastModifiedBy>
  <cp:revision>2</cp:revision>
  <dcterms:created xsi:type="dcterms:W3CDTF">2025-04-01T12:40:00Z</dcterms:created>
  <dcterms:modified xsi:type="dcterms:W3CDTF">2025-04-01T12:40:00Z</dcterms:modified>
</cp:coreProperties>
</file>