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7D0E9D9F" w:rsidR="00AB4A56" w:rsidRPr="00E87680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 xml:space="preserve">Приложение </w:t>
      </w:r>
      <w:r w:rsidR="00E87680" w:rsidRPr="00E87680">
        <w:rPr>
          <w:szCs w:val="24"/>
        </w:rPr>
        <w:t>9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Утверждено Приказом ФИЦ КазНЦ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КазНЦ РАН</w:t>
      </w:r>
    </w:p>
    <w:p w14:paraId="20DCC5D4" w14:textId="37CCDC30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BB028B">
        <w:rPr>
          <w:sz w:val="26"/>
          <w:szCs w:val="26"/>
        </w:rPr>
        <w:t>«</w:t>
      </w:r>
      <w:r w:rsidR="00BB028B" w:rsidRPr="00BB028B">
        <w:rPr>
          <w:sz w:val="26"/>
          <w:szCs w:val="26"/>
        </w:rPr>
        <w:t>22</w:t>
      </w:r>
      <w:r w:rsidRPr="00BB028B">
        <w:rPr>
          <w:sz w:val="26"/>
          <w:szCs w:val="26"/>
        </w:rPr>
        <w:t xml:space="preserve">» января 2025 г., протокол № </w:t>
      </w:r>
      <w:r w:rsidR="00BB028B" w:rsidRPr="00BB028B">
        <w:rPr>
          <w:sz w:val="26"/>
          <w:szCs w:val="26"/>
        </w:rPr>
        <w:t>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4421CDB5" w:rsidR="007B358C" w:rsidRPr="00C9122D" w:rsidRDefault="007B358C" w:rsidP="0019169D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19169D" w:rsidRPr="0019169D">
        <w:rPr>
          <w:b/>
          <w:sz w:val="26"/>
          <w:szCs w:val="26"/>
        </w:rPr>
        <w:t>Фазовые превращения в</w:t>
      </w:r>
      <w:r w:rsidR="0019169D">
        <w:rPr>
          <w:b/>
          <w:sz w:val="26"/>
          <w:szCs w:val="26"/>
        </w:rPr>
        <w:t xml:space="preserve"> </w:t>
      </w:r>
      <w:r w:rsidR="0019169D" w:rsidRPr="0019169D">
        <w:rPr>
          <w:b/>
          <w:sz w:val="26"/>
          <w:szCs w:val="26"/>
        </w:rPr>
        <w:t>конденсированных средах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623E65D" w14:textId="0B328C07" w:rsidR="00E77B36" w:rsidRPr="003722E8" w:rsidRDefault="00E77B36" w:rsidP="00E77B36">
      <w:pPr>
        <w:jc w:val="center"/>
        <w:rPr>
          <w:b/>
          <w:sz w:val="26"/>
          <w:szCs w:val="26"/>
        </w:rPr>
      </w:pPr>
      <w:r w:rsidRPr="003722E8">
        <w:rPr>
          <w:b/>
          <w:sz w:val="26"/>
          <w:szCs w:val="26"/>
        </w:rPr>
        <w:t>1.3.</w:t>
      </w:r>
      <w:r w:rsidR="00CA61A7" w:rsidRPr="003722E8">
        <w:rPr>
          <w:b/>
          <w:sz w:val="26"/>
          <w:szCs w:val="26"/>
        </w:rPr>
        <w:t>8</w:t>
      </w:r>
      <w:r w:rsidRPr="003722E8">
        <w:rPr>
          <w:b/>
          <w:sz w:val="26"/>
          <w:szCs w:val="26"/>
        </w:rPr>
        <w:t xml:space="preserve">. </w:t>
      </w:r>
      <w:r w:rsidR="00CA61A7" w:rsidRPr="003722E8">
        <w:rPr>
          <w:b/>
          <w:sz w:val="26"/>
          <w:szCs w:val="26"/>
        </w:rPr>
        <w:t>Физика конденсированного состояния</w:t>
      </w:r>
    </w:p>
    <w:p w14:paraId="12FAC649" w14:textId="3C4CB5FE" w:rsidR="007B358C" w:rsidRDefault="00E77B36" w:rsidP="00E77B36">
      <w:pPr>
        <w:jc w:val="center"/>
        <w:rPr>
          <w:b/>
          <w:sz w:val="26"/>
          <w:szCs w:val="26"/>
        </w:rPr>
      </w:pPr>
      <w:r w:rsidRPr="003722E8">
        <w:rPr>
          <w:b/>
          <w:sz w:val="26"/>
          <w:szCs w:val="26"/>
        </w:rPr>
        <w:t>(физико-математические науки)</w:t>
      </w:r>
    </w:p>
    <w:p w14:paraId="7AE6C0F1" w14:textId="77777777" w:rsidR="0019169D" w:rsidRPr="00E21791" w:rsidRDefault="0019169D" w:rsidP="00E77B36">
      <w:pPr>
        <w:jc w:val="center"/>
        <w:rPr>
          <w:b/>
          <w:bCs/>
          <w:sz w:val="26"/>
          <w:szCs w:val="26"/>
        </w:rPr>
      </w:pPr>
      <w:r w:rsidRPr="0019169D">
        <w:rPr>
          <w:b/>
          <w:bCs/>
          <w:sz w:val="26"/>
          <w:szCs w:val="26"/>
        </w:rPr>
        <w:t xml:space="preserve">1.3.17. Химическая физика, горение и взрыв, физика </w:t>
      </w:r>
    </w:p>
    <w:p w14:paraId="4DEF3DFA" w14:textId="5C63C76E" w:rsidR="0019169D" w:rsidRPr="00E21791" w:rsidRDefault="0019169D" w:rsidP="00E77B36">
      <w:pPr>
        <w:jc w:val="center"/>
        <w:rPr>
          <w:b/>
          <w:bCs/>
          <w:sz w:val="26"/>
          <w:szCs w:val="26"/>
        </w:rPr>
      </w:pPr>
      <w:r w:rsidRPr="0019169D">
        <w:rPr>
          <w:b/>
          <w:bCs/>
          <w:sz w:val="26"/>
          <w:szCs w:val="26"/>
        </w:rPr>
        <w:t>экстремальных состояний вещества</w:t>
      </w:r>
    </w:p>
    <w:p w14:paraId="5F929A00" w14:textId="162ACE77" w:rsidR="0019169D" w:rsidRPr="00E21791" w:rsidRDefault="0019169D" w:rsidP="00E77B36">
      <w:pPr>
        <w:jc w:val="center"/>
        <w:rPr>
          <w:sz w:val="26"/>
          <w:szCs w:val="26"/>
        </w:rPr>
      </w:pPr>
      <w:r w:rsidRPr="003722E8">
        <w:rPr>
          <w:b/>
          <w:sz w:val="26"/>
          <w:szCs w:val="26"/>
        </w:rPr>
        <w:t>(физико-математические науки)</w:t>
      </w:r>
    </w:p>
    <w:p w14:paraId="399587F5" w14:textId="77777777" w:rsidR="007B358C" w:rsidRPr="00C9122D" w:rsidRDefault="007B358C" w:rsidP="007B358C">
      <w:pPr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0C0DEF5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 xml:space="preserve">Виды учебной деятельности: аудиторные занятия – </w:t>
      </w:r>
      <w:r w:rsidR="005D0C80">
        <w:rPr>
          <w:color w:val="000000"/>
          <w:sz w:val="26"/>
          <w:szCs w:val="26"/>
        </w:rPr>
        <w:t>24</w:t>
      </w:r>
      <w:r w:rsidRPr="00C9122D">
        <w:rPr>
          <w:color w:val="000000"/>
          <w:sz w:val="26"/>
          <w:szCs w:val="26"/>
        </w:rPr>
        <w:t xml:space="preserve"> часов, самостоятельная работа – </w:t>
      </w:r>
      <w:r w:rsidR="005D0C80">
        <w:rPr>
          <w:color w:val="000000"/>
          <w:sz w:val="26"/>
          <w:szCs w:val="26"/>
        </w:rPr>
        <w:t>95</w:t>
      </w:r>
      <w:r w:rsidRPr="00C9122D">
        <w:rPr>
          <w:color w:val="000000"/>
          <w:sz w:val="26"/>
          <w:szCs w:val="26"/>
        </w:rPr>
        <w:t xml:space="preserve">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7B358C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79297F97" w14:textId="77777777" w:rsidR="001C4255" w:rsidRPr="001C4255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теоретические основы физики различных состояний конденсированных сред;</w:t>
      </w:r>
    </w:p>
    <w:p w14:paraId="4810C9FA" w14:textId="77777777" w:rsidR="001C4255" w:rsidRPr="001C4255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современные методы установления физических свойств конденсированных сред;</w:t>
      </w:r>
    </w:p>
    <w:p w14:paraId="47215B0E" w14:textId="77777777" w:rsidR="001C4255" w:rsidRPr="001C4255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основные методы исследования переходов между различными состояниями конденсированных сред;</w:t>
      </w:r>
    </w:p>
    <w:p w14:paraId="163D257E" w14:textId="7E50C0DE" w:rsidR="00E77B36" w:rsidRPr="0019169D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методы научно-исследовательской деятельности в том числе в области физики.</w:t>
      </w:r>
    </w:p>
    <w:p w14:paraId="6329DD27" w14:textId="77777777" w:rsidR="001C4255" w:rsidRPr="0019169D" w:rsidRDefault="001C4255" w:rsidP="001C4255">
      <w:pPr>
        <w:jc w:val="both"/>
        <w:rPr>
          <w:rFonts w:eastAsia="Arial Unicode MS"/>
          <w:sz w:val="26"/>
          <w:szCs w:val="26"/>
        </w:rPr>
      </w:pPr>
    </w:p>
    <w:p w14:paraId="24690995" w14:textId="3BBD203C" w:rsidR="0059529D" w:rsidRDefault="0059529D" w:rsidP="00E77B36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1977796B" w14:textId="77777777" w:rsidR="001C4255" w:rsidRPr="001C4255" w:rsidRDefault="001C4255" w:rsidP="001C4255">
      <w:pPr>
        <w:jc w:val="both"/>
        <w:rPr>
          <w:sz w:val="26"/>
          <w:szCs w:val="26"/>
          <w:shd w:val="clear" w:color="auto" w:fill="FFFFFF"/>
        </w:rPr>
      </w:pPr>
      <w:r w:rsidRPr="001C4255">
        <w:rPr>
          <w:sz w:val="26"/>
          <w:szCs w:val="26"/>
          <w:shd w:val="clear" w:color="auto" w:fill="FFFFFF"/>
        </w:rPr>
        <w:t>- устанавливать структуру различных конденсированных состояний;</w:t>
      </w:r>
    </w:p>
    <w:p w14:paraId="1779BA7E" w14:textId="77777777" w:rsidR="001C4255" w:rsidRPr="001C4255" w:rsidRDefault="001C4255" w:rsidP="001C4255">
      <w:pPr>
        <w:jc w:val="both"/>
        <w:rPr>
          <w:sz w:val="26"/>
          <w:szCs w:val="26"/>
          <w:shd w:val="clear" w:color="auto" w:fill="FFFFFF"/>
        </w:rPr>
      </w:pPr>
      <w:r w:rsidRPr="001C4255">
        <w:rPr>
          <w:sz w:val="26"/>
          <w:szCs w:val="26"/>
          <w:shd w:val="clear" w:color="auto" w:fill="FFFFFF"/>
        </w:rPr>
        <w:t>- выявлять закономерности связи структуры конденсированного состояния с его свойствами;</w:t>
      </w:r>
    </w:p>
    <w:p w14:paraId="13E71255" w14:textId="3844F76A" w:rsidR="00E77B36" w:rsidRPr="0019169D" w:rsidRDefault="001C4255" w:rsidP="001C4255">
      <w:pPr>
        <w:jc w:val="both"/>
        <w:rPr>
          <w:sz w:val="26"/>
          <w:szCs w:val="26"/>
          <w:shd w:val="clear" w:color="auto" w:fill="FFFFFF"/>
        </w:rPr>
      </w:pPr>
      <w:r w:rsidRPr="001C4255">
        <w:rPr>
          <w:sz w:val="26"/>
          <w:szCs w:val="26"/>
          <w:shd w:val="clear" w:color="auto" w:fill="FFFFFF"/>
        </w:rPr>
        <w:t>- использовать современную аппаратуру при проведении научных исследований;</w:t>
      </w:r>
    </w:p>
    <w:p w14:paraId="079E9954" w14:textId="584B5F4D" w:rsidR="001C4255" w:rsidRPr="001C4255" w:rsidRDefault="001C4255" w:rsidP="001C4255">
      <w:pPr>
        <w:jc w:val="both"/>
      </w:pPr>
      <w:r>
        <w:t>- проводить научные дискуссии на научных (научно-практических) мероприятиях</w:t>
      </w:r>
      <w:r w:rsidRPr="001C4255">
        <w:t>.</w:t>
      </w:r>
    </w:p>
    <w:p w14:paraId="5BEF2C30" w14:textId="77777777" w:rsid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 </w:t>
      </w:r>
    </w:p>
    <w:p w14:paraId="74DF5BA1" w14:textId="42D40C78" w:rsidR="00E77B36" w:rsidRP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51D8C527" w14:textId="77777777" w:rsidR="001C4255" w:rsidRPr="00884FB4" w:rsidRDefault="001C4255" w:rsidP="001C4255">
      <w:pPr>
        <w:pStyle w:val="Default"/>
        <w:rPr>
          <w:sz w:val="26"/>
          <w:szCs w:val="26"/>
        </w:rPr>
      </w:pPr>
      <w:r w:rsidRPr="00884FB4">
        <w:rPr>
          <w:sz w:val="26"/>
          <w:szCs w:val="26"/>
        </w:rPr>
        <w:t>- навыками исследования физических свойств конденсированного состояния;</w:t>
      </w:r>
    </w:p>
    <w:p w14:paraId="04104ACE" w14:textId="77777777" w:rsidR="001C4255" w:rsidRDefault="001C4255" w:rsidP="001C4255">
      <w:pPr>
        <w:pStyle w:val="Default"/>
        <w:rPr>
          <w:sz w:val="26"/>
          <w:szCs w:val="26"/>
        </w:rPr>
      </w:pPr>
      <w:r w:rsidRPr="00884FB4">
        <w:rPr>
          <w:sz w:val="26"/>
          <w:szCs w:val="26"/>
        </w:rPr>
        <w:t>- навыками по определению различных фаз конденсированных сред и анализу возможности переходов между ними</w:t>
      </w:r>
      <w:r>
        <w:rPr>
          <w:sz w:val="26"/>
          <w:szCs w:val="26"/>
        </w:rPr>
        <w:t>.</w:t>
      </w:r>
    </w:p>
    <w:p w14:paraId="054E14F4" w14:textId="7E81BA66" w:rsidR="00E77B36" w:rsidRDefault="00E77B36" w:rsidP="00E77B36">
      <w:pPr>
        <w:pStyle w:val="Default"/>
        <w:rPr>
          <w:sz w:val="26"/>
          <w:szCs w:val="26"/>
        </w:rPr>
      </w:pPr>
    </w:p>
    <w:p w14:paraId="26D31A35" w14:textId="42C65355" w:rsidR="007B358C" w:rsidRPr="003722E8" w:rsidRDefault="007B358C" w:rsidP="007B358C">
      <w:pPr>
        <w:ind w:left="1145"/>
        <w:rPr>
          <w:b/>
          <w:smallCaps/>
          <w:sz w:val="26"/>
          <w:szCs w:val="26"/>
        </w:rPr>
      </w:pPr>
      <w:r w:rsidRPr="003722E8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3817515B" w:rsidR="007B358C" w:rsidRPr="003722E8" w:rsidRDefault="007B358C" w:rsidP="007B358C">
      <w:pPr>
        <w:ind w:firstLine="720"/>
        <w:jc w:val="both"/>
        <w:rPr>
          <w:sz w:val="26"/>
          <w:szCs w:val="26"/>
        </w:rPr>
      </w:pPr>
      <w:r w:rsidRPr="003722E8">
        <w:rPr>
          <w:sz w:val="26"/>
          <w:szCs w:val="26"/>
        </w:rPr>
        <w:t>Дисциплина «</w:t>
      </w:r>
      <w:r w:rsidR="00BF2432">
        <w:rPr>
          <w:sz w:val="26"/>
          <w:szCs w:val="26"/>
        </w:rPr>
        <w:t>Фазовые превращения в конденсированных средах</w:t>
      </w:r>
      <w:r w:rsidRPr="003722E8">
        <w:rPr>
          <w:sz w:val="26"/>
          <w:szCs w:val="26"/>
        </w:rPr>
        <w:t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BF2432">
        <w:rPr>
          <w:sz w:val="26"/>
          <w:szCs w:val="26"/>
        </w:rPr>
        <w:t>ым</w:t>
      </w:r>
      <w:r w:rsidRPr="003722E8">
        <w:rPr>
          <w:sz w:val="26"/>
          <w:szCs w:val="26"/>
        </w:rPr>
        <w:t xml:space="preserve"> специальност</w:t>
      </w:r>
      <w:r w:rsidR="00BF2432">
        <w:rPr>
          <w:sz w:val="26"/>
          <w:szCs w:val="26"/>
        </w:rPr>
        <w:t>ям</w:t>
      </w:r>
      <w:r w:rsidR="00BB028B">
        <w:rPr>
          <w:sz w:val="26"/>
          <w:szCs w:val="26"/>
        </w:rPr>
        <w:t xml:space="preserve"> 1.3.17. Химическая физика, горение и взрыв, физика экстремальных состояний вещества и </w:t>
      </w:r>
      <w:r w:rsidR="00E77B36" w:rsidRPr="003722E8">
        <w:rPr>
          <w:sz w:val="26"/>
          <w:szCs w:val="26"/>
        </w:rPr>
        <w:t>1.3.</w:t>
      </w:r>
      <w:r w:rsidR="00CA61A7" w:rsidRPr="003722E8">
        <w:rPr>
          <w:sz w:val="26"/>
          <w:szCs w:val="26"/>
        </w:rPr>
        <w:t>8</w:t>
      </w:r>
      <w:r w:rsidR="00E77B36" w:rsidRPr="003722E8">
        <w:rPr>
          <w:sz w:val="26"/>
          <w:szCs w:val="26"/>
        </w:rPr>
        <w:t xml:space="preserve">. </w:t>
      </w:r>
      <w:r w:rsidR="00CA61A7" w:rsidRPr="003722E8">
        <w:rPr>
          <w:sz w:val="26"/>
          <w:szCs w:val="26"/>
        </w:rPr>
        <w:t>Физика конденсированного состояния</w:t>
      </w:r>
      <w:r w:rsidRPr="003722E8">
        <w:rPr>
          <w:sz w:val="26"/>
          <w:szCs w:val="26"/>
        </w:rPr>
        <w:t>. Обучение планируется на втором и/или третьем курсе</w:t>
      </w:r>
      <w:r w:rsidR="00BB028B">
        <w:rPr>
          <w:sz w:val="26"/>
          <w:szCs w:val="26"/>
        </w:rPr>
        <w:t>.</w:t>
      </w:r>
      <w:r w:rsidR="00BF2432">
        <w:rPr>
          <w:sz w:val="26"/>
          <w:szCs w:val="26"/>
        </w:rPr>
        <w:t xml:space="preserve"> </w:t>
      </w:r>
    </w:p>
    <w:p w14:paraId="41DD0879" w14:textId="302986EE" w:rsidR="007B358C" w:rsidRPr="00C9122D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BB028B">
        <w:rPr>
          <w:sz w:val="26"/>
          <w:szCs w:val="26"/>
        </w:rPr>
        <w:t>Данная дисциплина базируется на знаниях и умениях, выработанных при прохождении общ</w:t>
      </w:r>
      <w:r w:rsidR="00CA61A7" w:rsidRPr="00BB028B">
        <w:rPr>
          <w:sz w:val="26"/>
          <w:szCs w:val="26"/>
        </w:rPr>
        <w:t>е</w:t>
      </w:r>
      <w:r w:rsidRPr="00BB028B">
        <w:rPr>
          <w:sz w:val="26"/>
          <w:szCs w:val="26"/>
        </w:rPr>
        <w:t>профессиональн</w:t>
      </w:r>
      <w:r w:rsidR="00CA61A7" w:rsidRPr="00BB028B">
        <w:rPr>
          <w:sz w:val="26"/>
          <w:szCs w:val="26"/>
        </w:rPr>
        <w:t>ого</w:t>
      </w:r>
      <w:r w:rsidRPr="00BB028B">
        <w:rPr>
          <w:sz w:val="26"/>
          <w:szCs w:val="26"/>
        </w:rPr>
        <w:t xml:space="preserve"> курс</w:t>
      </w:r>
      <w:r w:rsidR="00CA61A7" w:rsidRPr="00BB028B">
        <w:rPr>
          <w:sz w:val="26"/>
          <w:szCs w:val="26"/>
        </w:rPr>
        <w:t>а</w:t>
      </w:r>
      <w:r w:rsidRPr="00BB028B">
        <w:rPr>
          <w:sz w:val="26"/>
          <w:szCs w:val="26"/>
        </w:rPr>
        <w:t xml:space="preserve"> </w:t>
      </w:r>
      <w:r w:rsidR="009B65C1" w:rsidRPr="00BB028B">
        <w:rPr>
          <w:sz w:val="26"/>
          <w:szCs w:val="26"/>
        </w:rPr>
        <w:t xml:space="preserve">«Физика конденсированного состояния» и </w:t>
      </w:r>
      <w:r w:rsidRPr="00BB028B">
        <w:rPr>
          <w:sz w:val="26"/>
          <w:szCs w:val="26"/>
        </w:rPr>
        <w:t>спецкурсов в рамках магистерской программы образования или специалитета</w:t>
      </w:r>
      <w:r w:rsidR="00BB028B">
        <w:rPr>
          <w:sz w:val="26"/>
          <w:szCs w:val="26"/>
        </w:rPr>
        <w:t xml:space="preserve"> по физике, </w:t>
      </w:r>
      <w:r w:rsidR="00BB028B" w:rsidRPr="00BB028B">
        <w:rPr>
          <w:sz w:val="26"/>
          <w:szCs w:val="26"/>
        </w:rPr>
        <w:t>по высшей математике, общей физике и теоретической физике (разделы: «Квантовая механика», «Статистическая физика»)</w:t>
      </w:r>
      <w:r w:rsidRPr="00BB028B">
        <w:rPr>
          <w:sz w:val="26"/>
          <w:szCs w:val="26"/>
        </w:rPr>
        <w:t>.</w:t>
      </w:r>
      <w:r w:rsidR="009B65C1" w:rsidRPr="00BB028B">
        <w:rPr>
          <w:szCs w:val="24"/>
        </w:rPr>
        <w:t xml:space="preserve"> </w:t>
      </w:r>
      <w:r w:rsidR="009B65C1" w:rsidRPr="00BB028B">
        <w:rPr>
          <w:sz w:val="26"/>
          <w:szCs w:val="26"/>
        </w:rPr>
        <w:t>Аспирант должен обладать навыками самостоятельного освоения изучаемого материала.</w:t>
      </w:r>
      <w:r w:rsidR="009B65C1" w:rsidRPr="009B65C1">
        <w:rPr>
          <w:sz w:val="26"/>
          <w:szCs w:val="26"/>
        </w:rPr>
        <w:t xml:space="preserve"> </w:t>
      </w:r>
    </w:p>
    <w:p w14:paraId="693F1C04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2CA5E284" w:rsidR="009B65C1" w:rsidRPr="00C9122D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CA61A7">
        <w:rPr>
          <w:b/>
          <w:bCs/>
          <w:color w:val="000000"/>
          <w:sz w:val="26"/>
          <w:szCs w:val="26"/>
        </w:rPr>
        <w:t>Целью</w:t>
      </w:r>
      <w:r w:rsidRPr="00CA61A7">
        <w:rPr>
          <w:i/>
          <w:iCs/>
          <w:color w:val="000000"/>
          <w:sz w:val="26"/>
          <w:szCs w:val="26"/>
        </w:rPr>
        <w:t xml:space="preserve"> </w:t>
      </w:r>
      <w:r w:rsidRPr="00CA61A7">
        <w:rPr>
          <w:color w:val="000000"/>
          <w:sz w:val="26"/>
          <w:szCs w:val="26"/>
        </w:rPr>
        <w:t>дисциплины «</w:t>
      </w:r>
      <w:r w:rsidR="00BF2432">
        <w:rPr>
          <w:sz w:val="26"/>
          <w:szCs w:val="26"/>
        </w:rPr>
        <w:t>Фазовые превращения в конденсированных средах</w:t>
      </w:r>
      <w:r w:rsidRPr="00CA61A7">
        <w:rPr>
          <w:color w:val="000000"/>
          <w:sz w:val="26"/>
          <w:szCs w:val="26"/>
        </w:rPr>
        <w:t xml:space="preserve">» является изучение основ современной физики </w:t>
      </w:r>
      <w:r w:rsidR="00CA61A7" w:rsidRPr="00CA61A7">
        <w:rPr>
          <w:color w:val="000000"/>
          <w:sz w:val="26"/>
          <w:szCs w:val="26"/>
        </w:rPr>
        <w:t>конденсированного состояния вещества,</w:t>
      </w:r>
      <w:r w:rsidR="00BF2432">
        <w:rPr>
          <w:color w:val="000000"/>
          <w:sz w:val="26"/>
          <w:szCs w:val="26"/>
        </w:rPr>
        <w:t xml:space="preserve"> фазовых состояний и переходов.</w:t>
      </w:r>
      <w:r w:rsidRPr="00CA61A7">
        <w:rPr>
          <w:color w:val="000000"/>
          <w:sz w:val="26"/>
          <w:szCs w:val="26"/>
        </w:rPr>
        <w:t xml:space="preserve"> Предполагается теоретическое освоение </w:t>
      </w:r>
      <w:r w:rsidR="00CA61A7" w:rsidRPr="00CA61A7">
        <w:rPr>
          <w:color w:val="000000"/>
          <w:sz w:val="26"/>
          <w:szCs w:val="26"/>
        </w:rPr>
        <w:t xml:space="preserve">широкого спектра </w:t>
      </w:r>
      <w:r w:rsidR="00BF2432">
        <w:rPr>
          <w:color w:val="000000"/>
          <w:sz w:val="26"/>
          <w:szCs w:val="26"/>
        </w:rPr>
        <w:t xml:space="preserve">термодинамических, структурных, фазовых </w:t>
      </w:r>
      <w:r w:rsidR="00CA61A7" w:rsidRPr="00CA61A7">
        <w:rPr>
          <w:color w:val="000000"/>
          <w:sz w:val="26"/>
          <w:szCs w:val="26"/>
        </w:rPr>
        <w:t xml:space="preserve">свойств конденсированного состояния, методов их изучения; изучение фазовых переходов между различными </w:t>
      </w:r>
      <w:r w:rsidR="00BF2432">
        <w:rPr>
          <w:color w:val="000000"/>
          <w:sz w:val="26"/>
          <w:szCs w:val="26"/>
        </w:rPr>
        <w:t>состояниями</w:t>
      </w:r>
      <w:r w:rsidR="00CA61A7" w:rsidRPr="00CA61A7">
        <w:rPr>
          <w:color w:val="000000"/>
          <w:sz w:val="26"/>
          <w:szCs w:val="26"/>
        </w:rPr>
        <w:t xml:space="preserve">; получения знаний о способах </w:t>
      </w:r>
      <w:r w:rsidR="00BF2432">
        <w:rPr>
          <w:color w:val="000000"/>
          <w:sz w:val="26"/>
          <w:szCs w:val="26"/>
        </w:rPr>
        <w:t>определения фазового состояния и возможных фазовых переходов</w:t>
      </w:r>
      <w:r w:rsidR="00CA61A7" w:rsidRPr="00CA61A7">
        <w:rPr>
          <w:color w:val="000000"/>
          <w:sz w:val="26"/>
          <w:szCs w:val="26"/>
        </w:rPr>
        <w:t>.</w:t>
      </w:r>
      <w:r w:rsidRPr="00CA61A7">
        <w:rPr>
          <w:b/>
          <w:bCs/>
          <w:color w:val="000000"/>
          <w:sz w:val="26"/>
          <w:szCs w:val="26"/>
        </w:rPr>
        <w:t xml:space="preserve"> </w:t>
      </w:r>
      <w:r w:rsidRPr="00CA61A7">
        <w:rPr>
          <w:sz w:val="26"/>
          <w:szCs w:val="26"/>
        </w:rPr>
        <w:t>Дисциплина направлена на</w:t>
      </w:r>
      <w:r w:rsidRPr="00CA61A7">
        <w:rPr>
          <w:bCs/>
          <w:sz w:val="26"/>
          <w:szCs w:val="26"/>
        </w:rPr>
        <w:t xml:space="preserve"> подготовку к сдаче кандидатского экзамена по специальной дисциплине</w:t>
      </w:r>
      <w:r w:rsidR="00BF2432">
        <w:rPr>
          <w:bCs/>
          <w:sz w:val="26"/>
          <w:szCs w:val="26"/>
        </w:rPr>
        <w:t>:</w:t>
      </w:r>
      <w:r w:rsidRPr="00CA61A7">
        <w:rPr>
          <w:bCs/>
          <w:sz w:val="26"/>
          <w:szCs w:val="26"/>
        </w:rPr>
        <w:t xml:space="preserve"> </w:t>
      </w:r>
      <w:r w:rsidRPr="00CA61A7">
        <w:rPr>
          <w:sz w:val="26"/>
          <w:szCs w:val="26"/>
        </w:rPr>
        <w:t>1.3.</w:t>
      </w:r>
      <w:r w:rsidR="00CA61A7" w:rsidRPr="00CA61A7">
        <w:rPr>
          <w:sz w:val="26"/>
          <w:szCs w:val="26"/>
        </w:rPr>
        <w:t>8</w:t>
      </w:r>
      <w:r w:rsidRPr="00CA61A7">
        <w:rPr>
          <w:sz w:val="26"/>
          <w:szCs w:val="26"/>
        </w:rPr>
        <w:t xml:space="preserve">. </w:t>
      </w:r>
      <w:r w:rsidR="00CA61A7" w:rsidRPr="00CA61A7">
        <w:rPr>
          <w:sz w:val="26"/>
          <w:szCs w:val="26"/>
        </w:rPr>
        <w:t>Физика конденсированного состояния</w:t>
      </w:r>
      <w:r w:rsidR="00BF2432">
        <w:rPr>
          <w:sz w:val="26"/>
          <w:szCs w:val="26"/>
        </w:rPr>
        <w:t xml:space="preserve">; 1.3.17 Химическая физика, горение и взрыв, физика </w:t>
      </w:r>
      <w:r w:rsidR="006B3665">
        <w:rPr>
          <w:sz w:val="26"/>
          <w:szCs w:val="26"/>
        </w:rPr>
        <w:t>экстремальных состояний вещества.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122D">
              <w:rPr>
                <w:b/>
                <w:sz w:val="26"/>
                <w:szCs w:val="26"/>
              </w:rPr>
              <w:t>Самост</w:t>
            </w:r>
            <w:proofErr w:type="spellEnd"/>
            <w:r w:rsidRPr="00C9122D">
              <w:rPr>
                <w:b/>
                <w:sz w:val="26"/>
                <w:szCs w:val="26"/>
              </w:rPr>
              <w:t>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7B358C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24F46DB" w14:textId="440939D8" w:rsidR="007B358C" w:rsidRPr="00CA61A7" w:rsidRDefault="006B3665" w:rsidP="009B65C1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Фазовые состояния и фазовые переходы. </w:t>
            </w:r>
            <w:r w:rsidRPr="006B3665">
              <w:rPr>
                <w:rFonts w:ascii="Times New Roman" w:hAnsi="Times New Roman" w:cs="Times New Roman"/>
                <w:sz w:val="26"/>
                <w:szCs w:val="26"/>
              </w:rPr>
              <w:t>Примеры фазовых переходов первого и второго рода. Нарушение симметрии при фазовом переходе.</w:t>
            </w:r>
          </w:p>
        </w:tc>
        <w:tc>
          <w:tcPr>
            <w:tcW w:w="1160" w:type="dxa"/>
            <w:vAlign w:val="center"/>
          </w:tcPr>
          <w:p w14:paraId="365DE8FF" w14:textId="3AF57A12" w:rsidR="007B358C" w:rsidRPr="00C9122D" w:rsidRDefault="006B3665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744A3E8D" w:rsidR="007B358C" w:rsidRPr="00C9122D" w:rsidRDefault="006B3665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3E99EC5A" w:rsidR="007B358C" w:rsidRPr="00C9122D" w:rsidRDefault="006B3665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4</w:t>
            </w:r>
          </w:p>
        </w:tc>
      </w:tr>
      <w:tr w:rsidR="006B3665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6B3665" w:rsidRPr="00C9122D" w:rsidRDefault="006B3665" w:rsidP="006B3665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629C5B5" w14:textId="2E9965D7" w:rsidR="006B3665" w:rsidRPr="00CA61A7" w:rsidRDefault="006B3665" w:rsidP="006B3665">
            <w:pPr>
              <w:pStyle w:val="Default"/>
              <w:jc w:val="both"/>
              <w:rPr>
                <w:sz w:val="26"/>
                <w:szCs w:val="26"/>
              </w:rPr>
            </w:pPr>
            <w:r w:rsidRPr="00443417">
              <w:rPr>
                <w:b/>
                <w:bCs/>
                <w:sz w:val="26"/>
                <w:szCs w:val="26"/>
              </w:rPr>
              <w:t>Термодинамические характеристики.</w:t>
            </w:r>
            <w:r w:rsidRPr="00443417">
              <w:rPr>
                <w:sz w:val="26"/>
                <w:szCs w:val="26"/>
              </w:rPr>
              <w:t xml:space="preserve"> Восприимчивость по отношению ко внешним полям. Флуктуации параметра порядка.</w:t>
            </w:r>
          </w:p>
        </w:tc>
        <w:tc>
          <w:tcPr>
            <w:tcW w:w="1160" w:type="dxa"/>
            <w:vAlign w:val="center"/>
          </w:tcPr>
          <w:p w14:paraId="4B929CBA" w14:textId="71BE7712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2109535F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4212D934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6B3665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6B3665" w:rsidRPr="00C9122D" w:rsidRDefault="006B3665" w:rsidP="006B3665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4E08A65" w14:textId="5965AE9F" w:rsidR="006B3665" w:rsidRPr="00CA61A7" w:rsidRDefault="006B3665" w:rsidP="006B3665">
            <w:pPr>
              <w:pStyle w:val="Default"/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443417">
              <w:rPr>
                <w:b/>
                <w:bCs/>
                <w:sz w:val="26"/>
                <w:szCs w:val="26"/>
              </w:rPr>
              <w:t>Структурные фазовые переходы и фазовые превращения.</w:t>
            </w:r>
            <w:r w:rsidRPr="00443417">
              <w:rPr>
                <w:sz w:val="26"/>
                <w:szCs w:val="26"/>
              </w:rPr>
              <w:t xml:space="preserve"> Фазовый переход «газ - жидкость», конденсация. Теория Ван-дер-Ваальса. Переход «жидкость – твердое тело», кристаллизация, плавление. </w:t>
            </w:r>
          </w:p>
        </w:tc>
        <w:tc>
          <w:tcPr>
            <w:tcW w:w="1160" w:type="dxa"/>
            <w:vAlign w:val="center"/>
          </w:tcPr>
          <w:p w14:paraId="652A4B69" w14:textId="1C96382C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35D4B9A4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330A97BB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6B3665" w:rsidRPr="00C9122D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6B3665" w:rsidRPr="00C9122D" w:rsidRDefault="006B3665" w:rsidP="006B3665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0C0A5DD" w14:textId="01DCE9AB" w:rsidR="006B3665" w:rsidRPr="00CA61A7" w:rsidRDefault="006B3665" w:rsidP="006B3665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443417">
              <w:rPr>
                <w:b/>
                <w:bCs/>
                <w:sz w:val="26"/>
                <w:szCs w:val="26"/>
              </w:rPr>
              <w:t>Природа обменного взаимодействия.</w:t>
            </w:r>
            <w:r w:rsidRPr="00443417">
              <w:rPr>
                <w:sz w:val="26"/>
                <w:szCs w:val="26"/>
              </w:rPr>
              <w:t xml:space="preserve"> Модели Гейзенберга и </w:t>
            </w:r>
            <w:proofErr w:type="spellStart"/>
            <w:r w:rsidRPr="00443417">
              <w:rPr>
                <w:sz w:val="26"/>
                <w:szCs w:val="26"/>
              </w:rPr>
              <w:t>Изинга</w:t>
            </w:r>
            <w:proofErr w:type="spellEnd"/>
            <w:r w:rsidRPr="00443417">
              <w:rPr>
                <w:sz w:val="26"/>
                <w:szCs w:val="26"/>
              </w:rPr>
              <w:t xml:space="preserve">. Магнитные </w:t>
            </w:r>
            <w:r w:rsidRPr="00443417">
              <w:rPr>
                <w:sz w:val="26"/>
                <w:szCs w:val="26"/>
              </w:rPr>
              <w:lastRenderedPageBreak/>
              <w:t xml:space="preserve">фазовые переходы в конденсированном материале. Обменное взаимодействие локальных магнитных моментов. Эффективное поле </w:t>
            </w:r>
            <w:proofErr w:type="spellStart"/>
            <w:r w:rsidRPr="00443417">
              <w:rPr>
                <w:sz w:val="26"/>
                <w:szCs w:val="26"/>
              </w:rPr>
              <w:t>Вейсса</w:t>
            </w:r>
            <w:proofErr w:type="spellEnd"/>
            <w:r w:rsidRPr="00443417">
              <w:rPr>
                <w:sz w:val="26"/>
                <w:szCs w:val="26"/>
              </w:rPr>
              <w:t xml:space="preserve">. Ферромагнитный фазовый переход. Модель </w:t>
            </w:r>
            <w:proofErr w:type="spellStart"/>
            <w:r w:rsidRPr="00443417">
              <w:rPr>
                <w:sz w:val="26"/>
                <w:szCs w:val="26"/>
              </w:rPr>
              <w:t>Вейсса</w:t>
            </w:r>
            <w:proofErr w:type="spellEnd"/>
            <w:r w:rsidRPr="00443417">
              <w:rPr>
                <w:sz w:val="26"/>
                <w:szCs w:val="26"/>
              </w:rPr>
              <w:t xml:space="preserve"> для ферромагнетизма. </w:t>
            </w:r>
          </w:p>
        </w:tc>
        <w:tc>
          <w:tcPr>
            <w:tcW w:w="1160" w:type="dxa"/>
            <w:vAlign w:val="center"/>
          </w:tcPr>
          <w:p w14:paraId="49A7C3CF" w14:textId="703EEF85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5A5E987F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1376C2D1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6B3665" w:rsidRPr="00C9122D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6B3665" w:rsidRPr="00C9122D" w:rsidRDefault="006B3665" w:rsidP="006B3665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9E4FF73" w14:textId="0BEB6D81" w:rsidR="006B3665" w:rsidRPr="00CA61A7" w:rsidRDefault="006B3665" w:rsidP="006B3665">
            <w:pPr>
              <w:jc w:val="both"/>
              <w:rPr>
                <w:sz w:val="26"/>
                <w:szCs w:val="26"/>
              </w:rPr>
            </w:pPr>
            <w:r w:rsidRPr="00443417">
              <w:rPr>
                <w:b/>
                <w:bCs/>
                <w:sz w:val="26"/>
                <w:szCs w:val="26"/>
              </w:rPr>
              <w:t>Антиферромагнитное упорядочение.</w:t>
            </w:r>
            <w:r w:rsidRPr="00443417">
              <w:rPr>
                <w:sz w:val="26"/>
                <w:szCs w:val="26"/>
              </w:rPr>
              <w:t xml:space="preserve"> Фазовая диаграмма антиферромагнетика в параллельной и перпендикулярной ориентации.</w:t>
            </w:r>
          </w:p>
        </w:tc>
        <w:tc>
          <w:tcPr>
            <w:tcW w:w="1160" w:type="dxa"/>
            <w:vAlign w:val="center"/>
          </w:tcPr>
          <w:p w14:paraId="6128C953" w14:textId="4040B88C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62CFE752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3958812C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6B3665" w:rsidRPr="00C9122D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6B3665" w:rsidRPr="00C9122D" w:rsidRDefault="006B3665" w:rsidP="006B3665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F5BF856" w14:textId="359D3403" w:rsidR="006B3665" w:rsidRPr="00AC784B" w:rsidRDefault="006B3665" w:rsidP="006B3665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443417">
              <w:rPr>
                <w:b/>
                <w:bCs/>
                <w:sz w:val="26"/>
                <w:szCs w:val="26"/>
              </w:rPr>
              <w:t>Флуктуации магнитного параметра порядка.</w:t>
            </w:r>
            <w:r w:rsidRPr="00443417">
              <w:rPr>
                <w:sz w:val="26"/>
                <w:szCs w:val="26"/>
              </w:rPr>
              <w:t xml:space="preserve"> Ближний и дальний порядок. Функция корреляции. Флуктуации магнитного момента вблизи фазового перехода. </w:t>
            </w:r>
          </w:p>
        </w:tc>
        <w:tc>
          <w:tcPr>
            <w:tcW w:w="1160" w:type="dxa"/>
            <w:vAlign w:val="center"/>
          </w:tcPr>
          <w:p w14:paraId="6652E544" w14:textId="52F7FB42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1B25FDD1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70A5C75B" w:rsidR="006B3665" w:rsidRPr="00C9122D" w:rsidDel="00903B91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6B3665" w:rsidRPr="00C9122D" w14:paraId="61616EE7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1EADB4B" w14:textId="77777777" w:rsidR="006B3665" w:rsidRPr="00C9122D" w:rsidRDefault="006B3665" w:rsidP="006B3665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9EB9CCB" w14:textId="58EBB0FD" w:rsidR="006B3665" w:rsidRPr="00AC784B" w:rsidRDefault="006B3665" w:rsidP="006B3665">
            <w:pPr>
              <w:jc w:val="both"/>
              <w:rPr>
                <w:sz w:val="26"/>
                <w:szCs w:val="26"/>
              </w:rPr>
            </w:pPr>
            <w:r w:rsidRPr="00443417">
              <w:rPr>
                <w:b/>
                <w:bCs/>
                <w:sz w:val="26"/>
                <w:szCs w:val="26"/>
              </w:rPr>
              <w:t xml:space="preserve">Теорема </w:t>
            </w:r>
            <w:proofErr w:type="spellStart"/>
            <w:r w:rsidRPr="00443417">
              <w:rPr>
                <w:b/>
                <w:bCs/>
                <w:sz w:val="26"/>
                <w:szCs w:val="26"/>
              </w:rPr>
              <w:t>Мермина</w:t>
            </w:r>
            <w:proofErr w:type="spellEnd"/>
            <w:r w:rsidRPr="00443417">
              <w:rPr>
                <w:b/>
                <w:bCs/>
                <w:sz w:val="26"/>
                <w:szCs w:val="26"/>
              </w:rPr>
              <w:t>-Вагнера и её ограничения.</w:t>
            </w:r>
            <w:r w:rsidRPr="00443417">
              <w:rPr>
                <w:sz w:val="26"/>
                <w:szCs w:val="26"/>
              </w:rPr>
              <w:t xml:space="preserve"> Фазовые переходы в двумерных системах. XY модель. Вихри и фазовые переходы. Фазовый переход Березинского-</w:t>
            </w:r>
            <w:proofErr w:type="spellStart"/>
            <w:r w:rsidRPr="00443417">
              <w:rPr>
                <w:sz w:val="26"/>
                <w:szCs w:val="26"/>
              </w:rPr>
              <w:t>Костерлица</w:t>
            </w:r>
            <w:proofErr w:type="spellEnd"/>
            <w:r w:rsidRPr="00443417">
              <w:rPr>
                <w:sz w:val="26"/>
                <w:szCs w:val="26"/>
              </w:rPr>
              <w:t>-</w:t>
            </w:r>
            <w:proofErr w:type="spellStart"/>
            <w:r w:rsidRPr="00443417">
              <w:rPr>
                <w:sz w:val="26"/>
                <w:szCs w:val="26"/>
              </w:rPr>
              <w:t>Таулеса</w:t>
            </w:r>
            <w:proofErr w:type="spellEnd"/>
            <w:r w:rsidRPr="00443417">
              <w:rPr>
                <w:sz w:val="26"/>
                <w:szCs w:val="26"/>
              </w:rPr>
              <w:t>.</w:t>
            </w:r>
          </w:p>
        </w:tc>
        <w:tc>
          <w:tcPr>
            <w:tcW w:w="1160" w:type="dxa"/>
            <w:vAlign w:val="center"/>
          </w:tcPr>
          <w:p w14:paraId="1EEAFBB4" w14:textId="4823EA2E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C6E7B5" w14:textId="24B95CF8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B3D0E3" w14:textId="362A1C2D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6B3665" w:rsidRPr="00C9122D" w14:paraId="35B635C6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18B4E932" w14:textId="77777777" w:rsidR="006B3665" w:rsidRPr="00C9122D" w:rsidRDefault="006B3665" w:rsidP="006B3665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F62DAC2" w14:textId="2B04B655" w:rsidR="006B3665" w:rsidRPr="00AC784B" w:rsidRDefault="006B3665" w:rsidP="006B3665">
            <w:pPr>
              <w:jc w:val="both"/>
              <w:rPr>
                <w:sz w:val="26"/>
                <w:szCs w:val="26"/>
              </w:rPr>
            </w:pPr>
            <w:r w:rsidRPr="00443417">
              <w:rPr>
                <w:b/>
                <w:bCs/>
                <w:sz w:val="26"/>
                <w:szCs w:val="26"/>
              </w:rPr>
              <w:t>Теория Ландау фазовых переходов II рода.</w:t>
            </w:r>
            <w:r w:rsidRPr="00443417">
              <w:rPr>
                <w:sz w:val="26"/>
                <w:szCs w:val="26"/>
              </w:rPr>
              <w:t xml:space="preserve"> Критические явления и универсальность. Зависимость «непрерывного» фазового перехода 2-го рода от размерности параметра порядка, размерности взаимодействия и наличия/отсутствия дальнодействующего взаимодействия. Функции отклика для теплоёмкости, магнитной восприимчивости и намагниченности. Стационарные и динамический критические индексы.  </w:t>
            </w:r>
          </w:p>
        </w:tc>
        <w:tc>
          <w:tcPr>
            <w:tcW w:w="1160" w:type="dxa"/>
            <w:vAlign w:val="center"/>
          </w:tcPr>
          <w:p w14:paraId="3E6F3C23" w14:textId="3BE7AEF9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62E7B3" w14:textId="372CA492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421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5FA7D4" w14:textId="58E634FB" w:rsidR="006B3665" w:rsidRPr="00C9122D" w:rsidRDefault="006B3665" w:rsidP="006B3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C9122D" w:rsidRDefault="007B358C" w:rsidP="00E926B4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AE08C91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0BCD31B4" w:rsidR="007B358C" w:rsidRPr="00C9122D" w:rsidRDefault="00AC784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2B79760E" w:rsidR="007B358C" w:rsidRPr="00C9122D" w:rsidRDefault="00AC784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95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F790C1A" w:rsidR="007B358C" w:rsidRPr="00C9122D" w:rsidRDefault="00AC784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842146">
              <w:rPr>
                <w:b/>
                <w:noProof/>
                <w:sz w:val="26"/>
                <w:szCs w:val="26"/>
              </w:rPr>
              <w:t>120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6AB3CB39" w:rsidR="00B66FCC" w:rsidRPr="00B66FCC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теме. </w:t>
      </w:r>
    </w:p>
    <w:p w14:paraId="387016ED" w14:textId="15E8DF86" w:rsidR="007B358C" w:rsidRPr="00AC784B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AC784B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3C9B3549" w14:textId="3A0F98DC" w:rsidR="00B66FCC" w:rsidRPr="00AC784B" w:rsidRDefault="00B66FCC" w:rsidP="00B66FCC">
      <w:pPr>
        <w:ind w:firstLine="709"/>
        <w:jc w:val="both"/>
        <w:rPr>
          <w:b/>
          <w:sz w:val="26"/>
          <w:szCs w:val="26"/>
        </w:rPr>
      </w:pPr>
      <w:r w:rsidRPr="00AC784B">
        <w:rPr>
          <w:b/>
          <w:bCs/>
          <w:sz w:val="26"/>
          <w:szCs w:val="26"/>
        </w:rPr>
        <w:t>Контрольные темы и вопросы для проведения текущего и итогового контроля по дисциплине «</w:t>
      </w:r>
      <w:r w:rsidR="00842146" w:rsidRPr="00842146">
        <w:rPr>
          <w:b/>
          <w:bCs/>
          <w:sz w:val="26"/>
          <w:szCs w:val="26"/>
        </w:rPr>
        <w:t>Фазовые превращения в конденсированных средах</w:t>
      </w:r>
      <w:r w:rsidRPr="00AC784B">
        <w:rPr>
          <w:b/>
          <w:bCs/>
          <w:sz w:val="26"/>
          <w:szCs w:val="26"/>
        </w:rPr>
        <w:t xml:space="preserve">»: </w:t>
      </w:r>
    </w:p>
    <w:p w14:paraId="796572BE" w14:textId="7005CD60" w:rsidR="00842146" w:rsidRPr="00842146" w:rsidRDefault="00B66FCC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1 </w:t>
      </w:r>
      <w:r w:rsidR="00842146" w:rsidRPr="00842146">
        <w:rPr>
          <w:bCs/>
          <w:sz w:val="26"/>
          <w:szCs w:val="26"/>
        </w:rPr>
        <w:t xml:space="preserve">Фазовые состояния и фазовые переходы. </w:t>
      </w:r>
    </w:p>
    <w:p w14:paraId="43EFD2BE" w14:textId="0599BC6B" w:rsidR="00842146" w:rsidRPr="00842146" w:rsidRDefault="00842146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>Тема 2</w:t>
      </w:r>
      <w:r>
        <w:rPr>
          <w:b/>
          <w:bCs/>
          <w:sz w:val="26"/>
          <w:szCs w:val="26"/>
        </w:rPr>
        <w:t xml:space="preserve"> </w:t>
      </w:r>
      <w:r w:rsidRPr="00842146">
        <w:rPr>
          <w:bCs/>
          <w:sz w:val="26"/>
          <w:szCs w:val="26"/>
        </w:rPr>
        <w:t>Термодинамические характеристики.</w:t>
      </w:r>
    </w:p>
    <w:p w14:paraId="62749644" w14:textId="3FA69645" w:rsidR="00842146" w:rsidRPr="00842146" w:rsidRDefault="00842146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>Тема 3</w:t>
      </w:r>
      <w:r>
        <w:rPr>
          <w:bCs/>
          <w:sz w:val="26"/>
          <w:szCs w:val="26"/>
        </w:rPr>
        <w:t xml:space="preserve"> </w:t>
      </w:r>
      <w:r w:rsidRPr="00842146">
        <w:rPr>
          <w:bCs/>
          <w:sz w:val="26"/>
          <w:szCs w:val="26"/>
        </w:rPr>
        <w:t xml:space="preserve">Структурные фазовые переходы и фазовые превращения. </w:t>
      </w:r>
    </w:p>
    <w:p w14:paraId="2DB5A757" w14:textId="5D141B4D" w:rsidR="00842146" w:rsidRPr="00842146" w:rsidRDefault="00842146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>Тема 4</w:t>
      </w:r>
      <w:r>
        <w:rPr>
          <w:b/>
          <w:bCs/>
          <w:sz w:val="26"/>
          <w:szCs w:val="26"/>
        </w:rPr>
        <w:t xml:space="preserve"> </w:t>
      </w:r>
      <w:r w:rsidRPr="00842146">
        <w:rPr>
          <w:bCs/>
          <w:sz w:val="26"/>
          <w:szCs w:val="26"/>
        </w:rPr>
        <w:t xml:space="preserve">Природа обменного взаимодействия. </w:t>
      </w:r>
    </w:p>
    <w:p w14:paraId="2CE17904" w14:textId="4E98785A" w:rsidR="00842146" w:rsidRPr="00842146" w:rsidRDefault="00842146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lastRenderedPageBreak/>
        <w:t>Тема 5</w:t>
      </w:r>
      <w:r>
        <w:rPr>
          <w:b/>
          <w:bCs/>
          <w:sz w:val="26"/>
          <w:szCs w:val="26"/>
        </w:rPr>
        <w:t xml:space="preserve"> </w:t>
      </w:r>
      <w:r w:rsidRPr="00842146">
        <w:rPr>
          <w:bCs/>
          <w:sz w:val="26"/>
          <w:szCs w:val="26"/>
        </w:rPr>
        <w:t>Антиферромагнитное упорядочение.</w:t>
      </w:r>
    </w:p>
    <w:p w14:paraId="60EC6212" w14:textId="2EB45115" w:rsidR="00842146" w:rsidRPr="00842146" w:rsidRDefault="00842146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>Тема 6</w:t>
      </w:r>
      <w:r>
        <w:rPr>
          <w:b/>
          <w:bCs/>
          <w:sz w:val="26"/>
          <w:szCs w:val="26"/>
        </w:rPr>
        <w:t xml:space="preserve"> </w:t>
      </w:r>
      <w:r w:rsidRPr="00842146">
        <w:rPr>
          <w:bCs/>
          <w:sz w:val="26"/>
          <w:szCs w:val="26"/>
        </w:rPr>
        <w:t xml:space="preserve">Флуктуации магнитного параметра порядка. </w:t>
      </w:r>
    </w:p>
    <w:p w14:paraId="677B41A6" w14:textId="798ECCA2" w:rsidR="00842146" w:rsidRPr="00842146" w:rsidRDefault="00842146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>Тема 7</w:t>
      </w:r>
      <w:r>
        <w:rPr>
          <w:b/>
          <w:bCs/>
          <w:sz w:val="26"/>
          <w:szCs w:val="26"/>
        </w:rPr>
        <w:t xml:space="preserve"> </w:t>
      </w:r>
      <w:r w:rsidRPr="00842146">
        <w:rPr>
          <w:bCs/>
          <w:sz w:val="26"/>
          <w:szCs w:val="26"/>
        </w:rPr>
        <w:t xml:space="preserve">Теорема </w:t>
      </w:r>
      <w:proofErr w:type="spellStart"/>
      <w:r w:rsidRPr="00842146">
        <w:rPr>
          <w:bCs/>
          <w:sz w:val="26"/>
          <w:szCs w:val="26"/>
        </w:rPr>
        <w:t>Мермина</w:t>
      </w:r>
      <w:proofErr w:type="spellEnd"/>
      <w:r w:rsidRPr="00842146">
        <w:rPr>
          <w:bCs/>
          <w:sz w:val="26"/>
          <w:szCs w:val="26"/>
        </w:rPr>
        <w:t>-Вагнера и её ограничения.</w:t>
      </w:r>
    </w:p>
    <w:p w14:paraId="550EBBE6" w14:textId="4FFD5847" w:rsidR="00842146" w:rsidRPr="00AC784B" w:rsidRDefault="00842146" w:rsidP="00842146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>Тема 8</w:t>
      </w:r>
      <w:r>
        <w:rPr>
          <w:b/>
          <w:bCs/>
          <w:sz w:val="26"/>
          <w:szCs w:val="26"/>
        </w:rPr>
        <w:t xml:space="preserve"> </w:t>
      </w:r>
      <w:r w:rsidRPr="00842146">
        <w:rPr>
          <w:bCs/>
          <w:sz w:val="26"/>
          <w:szCs w:val="26"/>
        </w:rPr>
        <w:t>Теория Ландау фазовых переходов II рода.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282EB638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6B3665" w:rsidRPr="006B3665">
        <w:rPr>
          <w:b/>
          <w:sz w:val="26"/>
          <w:szCs w:val="26"/>
          <w:u w:val="single"/>
        </w:rPr>
        <w:t>Фазовые превращения в конденсированных средах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C9122D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C9122D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13274D99" w14:textId="77777777" w:rsidR="006B3665" w:rsidRPr="006B3665" w:rsidRDefault="006B3665" w:rsidP="006B366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6B3665">
        <w:rPr>
          <w:sz w:val="26"/>
          <w:szCs w:val="26"/>
        </w:rPr>
        <w:t xml:space="preserve">Ф. Дайсон, Э. </w:t>
      </w:r>
      <w:proofErr w:type="spellStart"/>
      <w:r w:rsidRPr="006B3665">
        <w:rPr>
          <w:sz w:val="26"/>
          <w:szCs w:val="26"/>
        </w:rPr>
        <w:t>Монтролл</w:t>
      </w:r>
      <w:proofErr w:type="spellEnd"/>
      <w:r w:rsidRPr="006B3665">
        <w:rPr>
          <w:sz w:val="26"/>
          <w:szCs w:val="26"/>
        </w:rPr>
        <w:t>, М. Кац, М. Фишер. Устойчивость и фазовые переходы. «Мир», Москва, 1973.</w:t>
      </w:r>
    </w:p>
    <w:p w14:paraId="356FB189" w14:textId="77777777" w:rsidR="006B3665" w:rsidRPr="006B3665" w:rsidRDefault="006B3665" w:rsidP="006B366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6B3665">
        <w:rPr>
          <w:sz w:val="26"/>
          <w:szCs w:val="26"/>
        </w:rPr>
        <w:t xml:space="preserve">Ж.К. Толедано, П. Толедано. Теория Ландау фазовых переходов. М.: Мир, 1994. 462 с. </w:t>
      </w:r>
    </w:p>
    <w:p w14:paraId="18FA9B34" w14:textId="77777777" w:rsidR="006B3665" w:rsidRPr="006B3665" w:rsidRDefault="006B3665" w:rsidP="006B366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E21791">
        <w:rPr>
          <w:sz w:val="26"/>
          <w:szCs w:val="26"/>
          <w:lang w:val="en-US"/>
        </w:rPr>
        <w:t xml:space="preserve">M. Collins. Magnetic Critical Scattering. </w:t>
      </w:r>
      <w:proofErr w:type="spellStart"/>
      <w:r w:rsidRPr="006B3665">
        <w:rPr>
          <w:sz w:val="26"/>
          <w:szCs w:val="26"/>
        </w:rPr>
        <w:t>Oxford</w:t>
      </w:r>
      <w:proofErr w:type="spellEnd"/>
      <w:r w:rsidRPr="006B3665">
        <w:rPr>
          <w:sz w:val="26"/>
          <w:szCs w:val="26"/>
        </w:rPr>
        <w:t xml:space="preserve"> University Press, 1989.</w:t>
      </w:r>
    </w:p>
    <w:p w14:paraId="6120E9D6" w14:textId="7E571AA6" w:rsidR="006B3665" w:rsidRPr="006B3665" w:rsidRDefault="006B3665" w:rsidP="006B366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  <w:lang w:val="en-US"/>
        </w:rPr>
      </w:pPr>
      <w:r w:rsidRPr="006B3665">
        <w:rPr>
          <w:sz w:val="26"/>
          <w:szCs w:val="26"/>
          <w:lang w:val="en-US"/>
        </w:rPr>
        <w:t xml:space="preserve">B.L. Altshuler and A.G. Aronov, In: «Electron-electron interaction in disordered conductors», Edited by </w:t>
      </w:r>
      <w:proofErr w:type="gramStart"/>
      <w:r w:rsidRPr="006B3665">
        <w:rPr>
          <w:sz w:val="26"/>
          <w:szCs w:val="26"/>
          <w:lang w:val="en-US"/>
        </w:rPr>
        <w:t>A.L..</w:t>
      </w:r>
      <w:proofErr w:type="gramEnd"/>
      <w:r w:rsidRPr="006B3665">
        <w:rPr>
          <w:sz w:val="26"/>
          <w:szCs w:val="26"/>
          <w:lang w:val="en-US"/>
        </w:rPr>
        <w:t xml:space="preserve"> Efros and M. Pollak, Elsevier, 1985, p. 1.</w:t>
      </w:r>
    </w:p>
    <w:p w14:paraId="6F1225A9" w14:textId="77777777" w:rsidR="00AC784B" w:rsidRPr="006B3665" w:rsidRDefault="00AC784B" w:rsidP="007B358C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  <w:highlight w:val="cyan"/>
          <w:lang w:val="en-US"/>
        </w:rPr>
      </w:pPr>
    </w:p>
    <w:p w14:paraId="31F2366D" w14:textId="7C51F432" w:rsidR="007B358C" w:rsidRPr="00E21791" w:rsidRDefault="007B358C" w:rsidP="007B358C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E21791">
        <w:rPr>
          <w:b/>
          <w:bCs/>
          <w:sz w:val="26"/>
          <w:szCs w:val="26"/>
        </w:rPr>
        <w:t>7.2. Дополнительная литература</w:t>
      </w:r>
    </w:p>
    <w:p w14:paraId="3B7EBC82" w14:textId="77777777" w:rsidR="00E21791" w:rsidRPr="006B3665" w:rsidRDefault="00E21791" w:rsidP="00E21791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sz w:val="26"/>
          <w:szCs w:val="26"/>
        </w:rPr>
      </w:pPr>
      <w:r w:rsidRPr="006B3665">
        <w:rPr>
          <w:sz w:val="26"/>
          <w:szCs w:val="26"/>
        </w:rPr>
        <w:t>Л.Д. Ландау</w:t>
      </w:r>
      <w:proofErr w:type="gramStart"/>
      <w:r w:rsidRPr="006B3665">
        <w:rPr>
          <w:sz w:val="26"/>
          <w:szCs w:val="26"/>
        </w:rPr>
        <w:t>, К</w:t>
      </w:r>
      <w:proofErr w:type="gramEnd"/>
      <w:r w:rsidRPr="006B3665">
        <w:rPr>
          <w:sz w:val="26"/>
          <w:szCs w:val="26"/>
        </w:rPr>
        <w:t xml:space="preserve"> теории фазовых переходов. ЖЭТФ 7, 19 (1937); ЖЭТФ 7, 627 (1937). </w:t>
      </w:r>
    </w:p>
    <w:p w14:paraId="0812A617" w14:textId="77777777" w:rsidR="00E21791" w:rsidRPr="006B3665" w:rsidRDefault="00E21791" w:rsidP="00E21791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sz w:val="26"/>
          <w:szCs w:val="26"/>
        </w:rPr>
      </w:pPr>
      <w:r w:rsidRPr="006B3665">
        <w:rPr>
          <w:sz w:val="26"/>
          <w:szCs w:val="26"/>
        </w:rPr>
        <w:t>Л.Д. Ландау. Собрание трудов. Т. I. Наука, М. (1969). С. 123–127; 234–252; 253–261.</w:t>
      </w:r>
    </w:p>
    <w:p w14:paraId="78FE0100" w14:textId="77777777" w:rsidR="00B66FCC" w:rsidRPr="00B66FCC" w:rsidRDefault="00B66FCC" w:rsidP="00B66FCC">
      <w:pPr>
        <w:ind w:left="426" w:hanging="426"/>
        <w:jc w:val="center"/>
        <w:rPr>
          <w:sz w:val="26"/>
          <w:szCs w:val="26"/>
          <w:highlight w:val="cyan"/>
        </w:rPr>
      </w:pPr>
    </w:p>
    <w:p w14:paraId="2888153E" w14:textId="77777777" w:rsidR="007B358C" w:rsidRPr="00C9122D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C9122D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I. НЕКОММЕРЧЕСКИЕ ЭЛЕКТРОННЫЕ БИБЛИОТЕЧНЫЕ СИСТЕМЫ (ЭБС) СВОБОДНОГО ДОСТУПА </w:t>
      </w:r>
    </w:p>
    <w:p w14:paraId="60B4A03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lastRenderedPageBreak/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КиберЛенинка</w:t>
      </w:r>
      <w:proofErr w:type="spellEnd"/>
      <w:r w:rsidRPr="00B66FCC">
        <w:rPr>
          <w:rFonts w:ascii="Times New Roman" w:hAnsi="Times New Roman" w:cs="Times New Roman"/>
          <w:sz w:val="26"/>
          <w:szCs w:val="26"/>
        </w:rPr>
        <w:t xml:space="preserve"> http://www.cyberleninka.ru/ </w:t>
      </w:r>
    </w:p>
    <w:p w14:paraId="7EB06B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ИФТТ РАН http://www.issp.ac.ru/libcatm/elib.html </w:t>
      </w:r>
    </w:p>
    <w:p w14:paraId="5DC5B4B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EqWorld</w:t>
      </w:r>
      <w:proofErr w:type="spellEnd"/>
      <w:r w:rsidRPr="00B66FCC">
        <w:rPr>
          <w:rFonts w:ascii="Times New Roman" w:hAnsi="Times New Roman" w:cs="Times New Roman"/>
          <w:sz w:val="26"/>
          <w:szCs w:val="26"/>
        </w:rPr>
        <w:t xml:space="preserve"> – http://eqworld.ipmnet.ru/indexr.htm </w:t>
      </w:r>
    </w:p>
    <w:p w14:paraId="04B1D65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7AE8A49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Российский индекс научного цитирования (РИНЦ) http://elibrary.ru/project_risc.asp </w:t>
      </w:r>
    </w:p>
    <w:p w14:paraId="49FE51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Books (DOAB) http://doabooks.org/ </w:t>
      </w:r>
    </w:p>
    <w:p w14:paraId="6A393F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spellStart"/>
      <w:r w:rsidRPr="00B66FCC">
        <w:rPr>
          <w:rFonts w:ascii="Times New Roman" w:hAnsi="Times New Roman" w:cs="Times New Roman"/>
          <w:sz w:val="26"/>
          <w:szCs w:val="26"/>
          <w:lang w:val="en-US"/>
        </w:rPr>
        <w:t>ArXiv</w:t>
      </w:r>
      <w:proofErr w:type="spellEnd"/>
      <w:r w:rsidRPr="00B66FCC">
        <w:rPr>
          <w:rFonts w:ascii="Times New Roman" w:hAnsi="Times New Roman" w:cs="Times New Roman"/>
          <w:sz w:val="26"/>
          <w:szCs w:val="26"/>
          <w:lang w:val="en-US"/>
        </w:rPr>
        <w:t>: Open access to 1,146,534 e-prints in Physics, Mathematics, Computer Science, Quantitative Biology, Quantitative Finance and Statistics (</w:t>
      </w:r>
      <w:r w:rsidRPr="00B66FCC">
        <w:rPr>
          <w:rFonts w:ascii="Times New Roman" w:hAnsi="Times New Roman" w:cs="Times New Roman"/>
          <w:sz w:val="26"/>
          <w:szCs w:val="26"/>
        </w:rPr>
        <w:t>Электронный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архив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публикаций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библиотеки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Корнелльского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университета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B66FCC">
        <w:rPr>
          <w:rFonts w:ascii="Times New Roman" w:hAnsi="Times New Roman" w:cs="Times New Roman"/>
          <w:sz w:val="26"/>
          <w:szCs w:val="26"/>
        </w:rPr>
        <w:t>научно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66FCC">
        <w:rPr>
          <w:rFonts w:ascii="Times New Roman" w:hAnsi="Times New Roman" w:cs="Times New Roman"/>
          <w:sz w:val="26"/>
          <w:szCs w:val="26"/>
        </w:rPr>
        <w:t>поисковая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система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осуществляющая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полнотекстовый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поиск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журналах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многих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крупных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издательств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таких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как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66FCC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открытых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базах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данных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 </w:t>
      </w:r>
    </w:p>
    <w:p w14:paraId="1A4F9BFC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Physics Books – Free Computer Books http://www.freebookcentre.net/Physics/Physics-Books-Online.html </w:t>
      </w:r>
    </w:p>
    <w:p w14:paraId="0FE8043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Российское магнитное общество http://www.amtc.ru/mago/ </w:t>
      </w:r>
    </w:p>
    <w:p w14:paraId="5BBB44A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European community of Magnetism http://magnetism.eu </w:t>
      </w:r>
    </w:p>
    <w:p w14:paraId="3A4515B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International Society of Magnetic Resonance https://www.weizmann.ac.il/ISMAR/education </w:t>
      </w:r>
    </w:p>
    <w:p w14:paraId="075F6BB9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ETH Zurich group about EPR http://www.epr.ethz.ch </w:t>
      </w:r>
    </w:p>
    <w:p w14:paraId="72B441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Molecular magnetism http://www.molmag.de </w:t>
      </w:r>
    </w:p>
    <w:p w14:paraId="08529B1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Magnetic Resonance Imaging http://www.magnetic-resonance.org </w:t>
      </w:r>
    </w:p>
    <w:p w14:paraId="641366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Техническая библиотека http://techlibrary.ru/ </w:t>
      </w:r>
    </w:p>
    <w:p w14:paraId="574FB3A8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Гумер. Гуманитарные науки. </w:t>
      </w:r>
      <w:r w:rsidRPr="00B66FCC">
        <w:rPr>
          <w:rFonts w:ascii="Times New Roman" w:hAnsi="Times New Roman" w:cs="Times New Roman"/>
          <w:sz w:val="26"/>
          <w:szCs w:val="26"/>
        </w:rPr>
        <w:lastRenderedPageBreak/>
        <w:t xml:space="preserve">http://www.gumer.info/bibliotek_Buks/Pedagog/ </w:t>
      </w:r>
    </w:p>
    <w:p w14:paraId="27AC23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Федеральный портал «Российское образование» www.edu.ru </w:t>
      </w:r>
    </w:p>
    <w:p w14:paraId="11DE90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система «Единое окно доступа к образовательным ресурсам» http://window.edu.ru/ </w:t>
      </w:r>
    </w:p>
    <w:p w14:paraId="224E084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Специализированный портал по информационно-коммуникационным технологиям в образовании http://www.ict.edu.ru/ </w:t>
      </w:r>
    </w:p>
    <w:p w14:paraId="269F93C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справочно-правовая система «Консультант плюс» http://www.consultant.ru/ (некоммерческая версия) </w:t>
      </w:r>
    </w:p>
    <w:p w14:paraId="07D32388" w14:textId="52F453C4" w:rsidR="007B358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>• Справочно-информационный портал ГРАМОТА.РУ http://www.gramota.ru/</w:t>
      </w:r>
    </w:p>
    <w:p w14:paraId="0EF2A82A" w14:textId="77777777" w:rsidR="00B66FCC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КазНЦ РАН по профилю подготовки, представление докладов на научной конференции молодых ученых КФТИ – обособленного структурного подразделения ФИЦ КазНЦ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КазНЦ РАН с доступом к лабораторному оборудованию и приборам. </w:t>
      </w:r>
    </w:p>
    <w:p w14:paraId="737A2FB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lastRenderedPageBreak/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КазНЦ РАН. </w:t>
      </w:r>
    </w:p>
    <w:p w14:paraId="466559C4" w14:textId="77777777" w:rsidR="007B358C" w:rsidRPr="0019169D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4E75" w14:textId="77777777" w:rsidR="000D60AC" w:rsidRDefault="000D60AC">
      <w:r>
        <w:separator/>
      </w:r>
    </w:p>
  </w:endnote>
  <w:endnote w:type="continuationSeparator" w:id="0">
    <w:p w14:paraId="21622C86" w14:textId="77777777" w:rsidR="000D60AC" w:rsidRDefault="000D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9528" w14:textId="77777777" w:rsidR="000D60AC" w:rsidRDefault="000D60AC">
      <w:r>
        <w:separator/>
      </w:r>
    </w:p>
  </w:footnote>
  <w:footnote w:type="continuationSeparator" w:id="0">
    <w:p w14:paraId="1F75471F" w14:textId="77777777" w:rsidR="000D60AC" w:rsidRDefault="000D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6BC"/>
    <w:multiLevelType w:val="hybridMultilevel"/>
    <w:tmpl w:val="2D0C9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51B1E"/>
    <w:multiLevelType w:val="hybridMultilevel"/>
    <w:tmpl w:val="D442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728"/>
    <w:multiLevelType w:val="hybridMultilevel"/>
    <w:tmpl w:val="2D0C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81307D"/>
    <w:multiLevelType w:val="hybridMultilevel"/>
    <w:tmpl w:val="CD9A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A350F"/>
    <w:multiLevelType w:val="hybridMultilevel"/>
    <w:tmpl w:val="2D0C9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33881"/>
    <w:rsid w:val="000437F3"/>
    <w:rsid w:val="000D60AC"/>
    <w:rsid w:val="00162EF9"/>
    <w:rsid w:val="001750D8"/>
    <w:rsid w:val="0019169D"/>
    <w:rsid w:val="001C4255"/>
    <w:rsid w:val="002859AE"/>
    <w:rsid w:val="00366122"/>
    <w:rsid w:val="003722E8"/>
    <w:rsid w:val="0042262D"/>
    <w:rsid w:val="0048141B"/>
    <w:rsid w:val="0059529D"/>
    <w:rsid w:val="00595B8F"/>
    <w:rsid w:val="005D0C80"/>
    <w:rsid w:val="006351CF"/>
    <w:rsid w:val="006B1FBB"/>
    <w:rsid w:val="006B3665"/>
    <w:rsid w:val="006D0295"/>
    <w:rsid w:val="007B358C"/>
    <w:rsid w:val="00842146"/>
    <w:rsid w:val="0087614E"/>
    <w:rsid w:val="00963012"/>
    <w:rsid w:val="009A7053"/>
    <w:rsid w:val="009B2285"/>
    <w:rsid w:val="009B65C1"/>
    <w:rsid w:val="009C3980"/>
    <w:rsid w:val="009E3657"/>
    <w:rsid w:val="00A32DC2"/>
    <w:rsid w:val="00A7721E"/>
    <w:rsid w:val="00AB4A56"/>
    <w:rsid w:val="00AC784B"/>
    <w:rsid w:val="00B66FCC"/>
    <w:rsid w:val="00BB028B"/>
    <w:rsid w:val="00BD65A3"/>
    <w:rsid w:val="00BE6225"/>
    <w:rsid w:val="00BF2432"/>
    <w:rsid w:val="00C037FE"/>
    <w:rsid w:val="00C9122D"/>
    <w:rsid w:val="00CA61A7"/>
    <w:rsid w:val="00D80FA4"/>
    <w:rsid w:val="00DB28B3"/>
    <w:rsid w:val="00DD6BF9"/>
    <w:rsid w:val="00E21791"/>
    <w:rsid w:val="00E23CA2"/>
    <w:rsid w:val="00E77B36"/>
    <w:rsid w:val="00E87680"/>
    <w:rsid w:val="00E92FC8"/>
    <w:rsid w:val="00EB399C"/>
    <w:rsid w:val="00F72EFB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C784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BF24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F24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F2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24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F2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2179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1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2</cp:revision>
  <dcterms:created xsi:type="dcterms:W3CDTF">2025-05-19T09:02:00Z</dcterms:created>
  <dcterms:modified xsi:type="dcterms:W3CDTF">2025-05-19T09:02:00Z</dcterms:modified>
</cp:coreProperties>
</file>